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20F09D" w14:textId="28E889E7" w:rsidR="00365CBF" w:rsidRPr="0036532A" w:rsidRDefault="00000000">
      <w:pPr>
        <w:ind w:firstLineChars="0" w:firstLine="0"/>
        <w:jc w:val="center"/>
        <w:rPr>
          <w:rFonts w:asciiTheme="minorEastAsia" w:eastAsiaTheme="minorEastAsia" w:hAnsiTheme="minorEastAsia" w:cstheme="majorEastAsia"/>
          <w:b/>
          <w:bCs/>
          <w:color w:val="000000"/>
          <w:sz w:val="44"/>
          <w:szCs w:val="44"/>
        </w:rPr>
      </w:pPr>
      <w:r w:rsidRPr="0036532A">
        <w:rPr>
          <w:rFonts w:asciiTheme="minorEastAsia" w:eastAsiaTheme="minorEastAsia" w:hAnsiTheme="minorEastAsia" w:cstheme="majorEastAsia" w:hint="eastAsia"/>
          <w:b/>
          <w:bCs/>
          <w:color w:val="000000"/>
          <w:sz w:val="44"/>
          <w:szCs w:val="44"/>
        </w:rPr>
        <w:t>《</w:t>
      </w:r>
      <w:bookmarkStart w:id="0" w:name="_Hlk150864924"/>
      <w:r w:rsidR="00237686" w:rsidRPr="0036532A">
        <w:rPr>
          <w:rFonts w:asciiTheme="minorEastAsia" w:eastAsiaTheme="minorEastAsia" w:hAnsiTheme="minorEastAsia" w:cstheme="majorEastAsia" w:hint="eastAsia"/>
          <w:b/>
          <w:bCs/>
          <w:color w:val="000000"/>
          <w:sz w:val="44"/>
          <w:szCs w:val="44"/>
        </w:rPr>
        <w:t>郑州市促进数据要素产业发展的若干措施</w:t>
      </w:r>
      <w:bookmarkEnd w:id="0"/>
      <w:r w:rsidRPr="0036532A">
        <w:rPr>
          <w:rFonts w:asciiTheme="minorEastAsia" w:eastAsiaTheme="minorEastAsia" w:hAnsiTheme="minorEastAsia" w:cstheme="majorEastAsia" w:hint="eastAsia"/>
          <w:b/>
          <w:bCs/>
          <w:color w:val="000000"/>
          <w:sz w:val="44"/>
          <w:szCs w:val="44"/>
        </w:rPr>
        <w:t>》起草说明</w:t>
      </w:r>
    </w:p>
    <w:p w14:paraId="5CBBA388" w14:textId="77777777" w:rsidR="00365CBF" w:rsidRDefault="00365CBF">
      <w:pPr>
        <w:ind w:firstLine="640"/>
      </w:pPr>
    </w:p>
    <w:p w14:paraId="257D72D9" w14:textId="77777777" w:rsidR="00365CBF" w:rsidRDefault="00000000">
      <w:pPr>
        <w:pStyle w:val="1"/>
        <w:ind w:firstLine="640"/>
      </w:pPr>
      <w:r>
        <w:rPr>
          <w:rFonts w:hint="eastAsia"/>
        </w:rPr>
        <w:t>一、起草的必要性和可行性</w:t>
      </w:r>
    </w:p>
    <w:p w14:paraId="33926616" w14:textId="3D741BCB" w:rsidR="00CB4ED9" w:rsidRPr="00CB4ED9" w:rsidRDefault="00CB4ED9">
      <w:pPr>
        <w:ind w:firstLine="640"/>
        <w:jc w:val="left"/>
        <w:rPr>
          <w:rFonts w:ascii="楷体_GB2312" w:eastAsia="楷体_GB2312" w:hAnsi="Times New Roman Regular" w:cs="Times New Roman Regular"/>
          <w:szCs w:val="22"/>
          <w:lang w:eastAsia="zh-Hans"/>
        </w:rPr>
      </w:pPr>
      <w:r w:rsidRPr="00CB4ED9">
        <w:rPr>
          <w:rFonts w:ascii="楷体_GB2312" w:eastAsia="楷体_GB2312" w:hAnsi="Times New Roman Regular" w:cs="Times New Roman Regular" w:hint="eastAsia"/>
          <w:szCs w:val="22"/>
          <w:lang w:eastAsia="zh-Hans"/>
        </w:rPr>
        <w:t>（一）必要性分析</w:t>
      </w:r>
    </w:p>
    <w:p w14:paraId="4CE01277" w14:textId="59B3A6CD" w:rsidR="00365CBF" w:rsidRDefault="00000000">
      <w:pPr>
        <w:ind w:firstLine="640"/>
        <w:jc w:val="left"/>
        <w:rPr>
          <w:rFonts w:cs="Times New Roman"/>
          <w:snapToGrid w:val="0"/>
          <w:color w:val="000000"/>
          <w:spacing w:val="6"/>
        </w:rPr>
      </w:pPr>
      <w:r>
        <w:rPr>
          <w:rFonts w:ascii="Times New Roman Regular" w:hAnsi="Times New Roman Regular" w:cs="Times New Roman Regular" w:hint="eastAsia"/>
          <w:szCs w:val="22"/>
          <w:lang w:eastAsia="zh-Hans"/>
        </w:rPr>
        <w:t>郑州市坚持把数字化转型作为高质量发展的先导工程、基础工程，着力打造以基础设施建设为支撑、核心产业发展为突破、融合应用创新为引领、数字能力提升为关键、数字生态优化为保障的数字化转型新格局。</w:t>
      </w:r>
      <w:r w:rsidR="00207C88">
        <w:rPr>
          <w:rFonts w:ascii="Times New Roman Regular" w:hAnsi="Times New Roman Regular" w:cs="Times New Roman Regular" w:hint="eastAsia"/>
          <w:szCs w:val="22"/>
          <w:lang w:eastAsia="zh-Hans"/>
        </w:rPr>
        <w:t>当前，</w:t>
      </w:r>
      <w:r w:rsidR="00207C88" w:rsidRPr="00207C88">
        <w:rPr>
          <w:rFonts w:ascii="Times New Roman Regular" w:hAnsi="Times New Roman Regular" w:cs="Times New Roman Regular" w:hint="eastAsia"/>
          <w:szCs w:val="22"/>
          <w:lang w:eastAsia="zh-Hans"/>
        </w:rPr>
        <w:t>数据要素</w:t>
      </w:r>
      <w:r w:rsidR="00207C88">
        <w:rPr>
          <w:rFonts w:ascii="Times New Roman Regular" w:hAnsi="Times New Roman Regular" w:cs="Times New Roman Regular" w:hint="eastAsia"/>
          <w:szCs w:val="22"/>
          <w:lang w:eastAsia="zh-Hans"/>
        </w:rPr>
        <w:t>已成为</w:t>
      </w:r>
      <w:r w:rsidR="00207C88" w:rsidRPr="00207C88">
        <w:rPr>
          <w:rFonts w:ascii="Times New Roman Regular" w:hAnsi="Times New Roman Regular" w:cs="Times New Roman Regular" w:hint="eastAsia"/>
          <w:szCs w:val="22"/>
          <w:lang w:eastAsia="zh-Hans"/>
        </w:rPr>
        <w:t>数字经济深入发展的核心引擎</w:t>
      </w:r>
      <w:r w:rsidR="00207C88">
        <w:rPr>
          <w:rFonts w:ascii="Times New Roman Regular" w:hAnsi="Times New Roman Regular" w:cs="Times New Roman Regular" w:hint="eastAsia"/>
          <w:szCs w:val="22"/>
          <w:lang w:eastAsia="zh-Hans"/>
        </w:rPr>
        <w:t>，</w:t>
      </w:r>
      <w:r w:rsidR="000603CF" w:rsidRPr="009336C0">
        <w:rPr>
          <w:rFonts w:cs="Times New Roman" w:hint="eastAsia"/>
          <w:szCs w:val="32"/>
          <w:lang w:eastAsia="zh-Hans"/>
        </w:rPr>
        <w:t>为加快</w:t>
      </w:r>
      <w:r w:rsidR="000603CF" w:rsidRPr="009336C0">
        <w:rPr>
          <w:rFonts w:cs="Times New Roman" w:hint="eastAsia"/>
          <w:szCs w:val="32"/>
          <w:lang w:val="zh-CN" w:eastAsia="zh-Hans"/>
        </w:rPr>
        <w:t>构建</w:t>
      </w:r>
      <w:r w:rsidR="000603CF" w:rsidRPr="009336C0">
        <w:rPr>
          <w:rFonts w:cs="Times New Roman" w:hint="eastAsia"/>
          <w:szCs w:val="32"/>
          <w:lang w:eastAsia="zh-Hans"/>
        </w:rPr>
        <w:t>全国数据交易改革创新策源地、数据要素配置重要枢纽节点和数据要素产业发展高地，</w:t>
      </w:r>
      <w:r>
        <w:rPr>
          <w:rFonts w:ascii="Times New Roman Regular" w:hAnsi="Times New Roman Regular" w:cs="Times New Roman Regular" w:hint="eastAsia"/>
          <w:szCs w:val="22"/>
          <w:lang w:eastAsia="zh-Hans"/>
        </w:rPr>
        <w:t>将郑州打造成为全国重要的“数仓、数纽、数港”，</w:t>
      </w:r>
      <w:r w:rsidR="008B2ED6">
        <w:rPr>
          <w:rFonts w:ascii="Times New Roman Regular" w:hAnsi="Times New Roman Regular" w:cs="Times New Roman Regular" w:hint="eastAsia"/>
          <w:szCs w:val="22"/>
          <w:lang w:eastAsia="zh-Hans"/>
        </w:rPr>
        <w:t>落实《</w:t>
      </w:r>
      <w:r w:rsidR="008B2ED6" w:rsidRPr="008B2ED6">
        <w:rPr>
          <w:rFonts w:ascii="Times New Roman Regular" w:hAnsi="Times New Roman Regular" w:cs="Times New Roman Regular" w:hint="eastAsia"/>
          <w:szCs w:val="22"/>
          <w:lang w:eastAsia="zh-Hans"/>
        </w:rPr>
        <w:t>郑州市数据要素市场化配置改革行动计划（</w:t>
      </w:r>
      <w:r w:rsidR="008B2ED6" w:rsidRPr="008B2ED6">
        <w:rPr>
          <w:rFonts w:ascii="Times New Roman Regular" w:hAnsi="Times New Roman Regular" w:cs="Times New Roman Regular" w:hint="eastAsia"/>
          <w:szCs w:val="22"/>
          <w:lang w:eastAsia="zh-Hans"/>
        </w:rPr>
        <w:t>2023</w:t>
      </w:r>
      <w:r w:rsidR="008B2ED6" w:rsidRPr="008B2ED6">
        <w:rPr>
          <w:rFonts w:ascii="Times New Roman Regular" w:hAnsi="Times New Roman Regular" w:cs="Times New Roman Regular" w:hint="eastAsia"/>
          <w:szCs w:val="22"/>
          <w:lang w:eastAsia="zh-Hans"/>
        </w:rPr>
        <w:t>—</w:t>
      </w:r>
      <w:r w:rsidR="008B2ED6" w:rsidRPr="008B2ED6">
        <w:rPr>
          <w:rFonts w:ascii="Times New Roman Regular" w:hAnsi="Times New Roman Regular" w:cs="Times New Roman Regular" w:hint="eastAsia"/>
          <w:szCs w:val="22"/>
          <w:lang w:eastAsia="zh-Hans"/>
        </w:rPr>
        <w:t>2025</w:t>
      </w:r>
      <w:r w:rsidR="008B2ED6" w:rsidRPr="008B2ED6">
        <w:rPr>
          <w:rFonts w:ascii="Times New Roman Regular" w:hAnsi="Times New Roman Regular" w:cs="Times New Roman Regular" w:hint="eastAsia"/>
          <w:szCs w:val="22"/>
          <w:lang w:eastAsia="zh-Hans"/>
        </w:rPr>
        <w:t>年）</w:t>
      </w:r>
      <w:r w:rsidR="008B2ED6">
        <w:rPr>
          <w:rFonts w:ascii="Times New Roman Regular" w:hAnsi="Times New Roman Regular" w:cs="Times New Roman Regular" w:hint="eastAsia"/>
          <w:szCs w:val="22"/>
          <w:lang w:eastAsia="zh-Hans"/>
        </w:rPr>
        <w:t>》</w:t>
      </w:r>
      <w:r w:rsidR="00BE4E8F">
        <w:rPr>
          <w:rFonts w:ascii="Times New Roman Regular" w:hAnsi="Times New Roman Regular" w:cs="Times New Roman Regular" w:hint="eastAsia"/>
          <w:szCs w:val="22"/>
          <w:lang w:eastAsia="zh-Hans"/>
        </w:rPr>
        <w:t>（</w:t>
      </w:r>
      <w:r w:rsidR="00DC7EBA" w:rsidRPr="006B42E2">
        <w:rPr>
          <w:rFonts w:ascii="Times New Roman Regular" w:hAnsi="Times New Roman Regular" w:cs="Times New Roman Regular" w:hint="eastAsia"/>
          <w:szCs w:val="22"/>
          <w:lang w:eastAsia="zh-Hans"/>
        </w:rPr>
        <w:t>郑政〔</w:t>
      </w:r>
      <w:r w:rsidR="00DC7EBA" w:rsidRPr="006B42E2">
        <w:rPr>
          <w:rFonts w:ascii="Times New Roman Regular" w:hAnsi="Times New Roman Regular" w:cs="Times New Roman Regular" w:hint="eastAsia"/>
          <w:szCs w:val="22"/>
          <w:lang w:eastAsia="zh-Hans"/>
        </w:rPr>
        <w:t>2023</w:t>
      </w:r>
      <w:r w:rsidR="00DC7EBA" w:rsidRPr="006B42E2">
        <w:rPr>
          <w:rFonts w:ascii="Times New Roman Regular" w:hAnsi="Times New Roman Regular" w:cs="Times New Roman Regular" w:hint="eastAsia"/>
          <w:szCs w:val="22"/>
          <w:lang w:eastAsia="zh-Hans"/>
        </w:rPr>
        <w:t>〕</w:t>
      </w:r>
      <w:r w:rsidR="00DC7EBA" w:rsidRPr="006B42E2">
        <w:rPr>
          <w:rFonts w:ascii="Times New Roman Regular" w:hAnsi="Times New Roman Regular" w:cs="Times New Roman Regular" w:hint="eastAsia"/>
          <w:szCs w:val="22"/>
          <w:lang w:eastAsia="zh-Hans"/>
        </w:rPr>
        <w:t>24</w:t>
      </w:r>
      <w:r w:rsidR="00DC7EBA" w:rsidRPr="006B42E2">
        <w:rPr>
          <w:rFonts w:ascii="Times New Roman Regular" w:hAnsi="Times New Roman Regular" w:cs="Times New Roman Regular" w:hint="eastAsia"/>
          <w:szCs w:val="22"/>
          <w:lang w:eastAsia="zh-Hans"/>
        </w:rPr>
        <w:t>号</w:t>
      </w:r>
      <w:r w:rsidR="00DC7EBA">
        <w:rPr>
          <w:rFonts w:ascii="Times New Roman Regular" w:hAnsi="Times New Roman Regular" w:cs="Times New Roman Regular" w:hint="eastAsia"/>
          <w:szCs w:val="22"/>
          <w:lang w:eastAsia="zh-Hans"/>
        </w:rPr>
        <w:t>，</w:t>
      </w:r>
      <w:r w:rsidR="00BE4E8F">
        <w:rPr>
          <w:rFonts w:ascii="Times New Roman Regular" w:hAnsi="Times New Roman Regular" w:cs="Times New Roman Regular" w:hint="eastAsia"/>
          <w:szCs w:val="22"/>
          <w:lang w:eastAsia="zh-Hans"/>
        </w:rPr>
        <w:t>以下简称《行动计划》）</w:t>
      </w:r>
      <w:r w:rsidR="008B2ED6">
        <w:rPr>
          <w:rFonts w:ascii="Times New Roman Regular" w:hAnsi="Times New Roman Regular" w:cs="Times New Roman Regular" w:hint="eastAsia"/>
          <w:szCs w:val="22"/>
          <w:lang w:eastAsia="zh-Hans"/>
        </w:rPr>
        <w:t>中提出的“</w:t>
      </w:r>
      <w:r w:rsidR="008B2ED6">
        <w:rPr>
          <w:rFonts w:hint="eastAsia"/>
          <w:szCs w:val="32"/>
        </w:rPr>
        <w:t>发展数据要素产业</w:t>
      </w:r>
      <w:r w:rsidR="008B2ED6">
        <w:rPr>
          <w:rFonts w:ascii="Times New Roman Regular" w:hAnsi="Times New Roman Regular" w:cs="Times New Roman Regular" w:hint="eastAsia"/>
          <w:szCs w:val="22"/>
          <w:lang w:eastAsia="zh-Hans"/>
        </w:rPr>
        <w:t>”重点任务以及“</w:t>
      </w:r>
      <w:r w:rsidR="008B2ED6" w:rsidRPr="008B2ED6">
        <w:rPr>
          <w:rFonts w:ascii="Times New Roman Regular" w:hAnsi="Times New Roman Regular" w:cs="Times New Roman Regular" w:hint="eastAsia"/>
          <w:szCs w:val="22"/>
          <w:lang w:eastAsia="zh-Hans"/>
        </w:rPr>
        <w:t>制定产业扶持政策</w:t>
      </w:r>
      <w:r w:rsidR="008B2ED6">
        <w:rPr>
          <w:rFonts w:ascii="Times New Roman Regular" w:hAnsi="Times New Roman Regular" w:cs="Times New Roman Regular" w:hint="eastAsia"/>
          <w:szCs w:val="22"/>
          <w:lang w:eastAsia="zh-Hans"/>
        </w:rPr>
        <w:t>”保障措施，</w:t>
      </w:r>
      <w:r>
        <w:rPr>
          <w:rFonts w:ascii="Times New Roman Regular" w:hAnsi="Times New Roman Regular" w:cs="Times New Roman Regular" w:hint="eastAsia"/>
          <w:szCs w:val="22"/>
          <w:lang w:eastAsia="zh-Hans"/>
        </w:rPr>
        <w:t>亟需制定《</w:t>
      </w:r>
      <w:r w:rsidR="000603CF" w:rsidRPr="000603CF">
        <w:rPr>
          <w:rFonts w:ascii="Times New Roman Regular" w:hAnsi="Times New Roman Regular" w:cs="Times New Roman Regular" w:hint="eastAsia"/>
          <w:szCs w:val="22"/>
          <w:lang w:eastAsia="zh-Hans"/>
        </w:rPr>
        <w:t>郑州市促进数据要素产业发展的若干措施</w:t>
      </w:r>
      <w:r>
        <w:rPr>
          <w:rFonts w:ascii="Times New Roman Regular" w:hAnsi="Times New Roman Regular" w:cs="Times New Roman Regular" w:hint="eastAsia"/>
          <w:szCs w:val="22"/>
          <w:lang w:eastAsia="zh-Hans"/>
        </w:rPr>
        <w:t>》（以下简称《</w:t>
      </w:r>
      <w:r w:rsidR="000603CF">
        <w:rPr>
          <w:rFonts w:ascii="Times New Roman Regular" w:hAnsi="Times New Roman Regular" w:cs="Times New Roman Regular" w:hint="eastAsia"/>
          <w:szCs w:val="22"/>
          <w:lang w:eastAsia="zh-Hans"/>
        </w:rPr>
        <w:t>若干措施</w:t>
      </w:r>
      <w:r>
        <w:rPr>
          <w:rFonts w:ascii="Times New Roman Regular" w:hAnsi="Times New Roman Regular" w:cs="Times New Roman Regular" w:hint="eastAsia"/>
          <w:szCs w:val="22"/>
          <w:lang w:eastAsia="zh-Hans"/>
        </w:rPr>
        <w:t>》），进一步加快推进郑州市数据要素</w:t>
      </w:r>
      <w:r w:rsidR="000603CF">
        <w:rPr>
          <w:rFonts w:ascii="Times New Roman Regular" w:hAnsi="Times New Roman Regular" w:cs="Times New Roman Regular" w:hint="eastAsia"/>
          <w:szCs w:val="22"/>
          <w:lang w:eastAsia="zh-Hans"/>
        </w:rPr>
        <w:t>产业发展</w:t>
      </w:r>
      <w:r>
        <w:rPr>
          <w:rFonts w:cs="Times New Roman" w:hint="eastAsia"/>
          <w:snapToGrid w:val="0"/>
          <w:color w:val="000000"/>
          <w:spacing w:val="6"/>
        </w:rPr>
        <w:t>。</w:t>
      </w:r>
    </w:p>
    <w:p w14:paraId="7F40B449" w14:textId="63B4EAD7" w:rsidR="00CB4ED9" w:rsidRPr="00CB4ED9" w:rsidRDefault="00CB4ED9" w:rsidP="00CB4ED9">
      <w:pPr>
        <w:ind w:firstLine="640"/>
        <w:jc w:val="left"/>
        <w:rPr>
          <w:rFonts w:ascii="楷体_GB2312" w:eastAsia="楷体_GB2312" w:hAnsi="Times New Roman Regular" w:cs="Times New Roman Regular"/>
          <w:szCs w:val="22"/>
          <w:lang w:eastAsia="zh-Hans"/>
        </w:rPr>
      </w:pPr>
      <w:r w:rsidRPr="00CB4ED9">
        <w:rPr>
          <w:rFonts w:ascii="楷体_GB2312" w:eastAsia="楷体_GB2312" w:hAnsi="Times New Roman Regular" w:cs="Times New Roman Regular" w:hint="eastAsia"/>
          <w:szCs w:val="22"/>
          <w:lang w:eastAsia="zh-Hans"/>
        </w:rPr>
        <w:t>（</w:t>
      </w:r>
      <w:r>
        <w:rPr>
          <w:rFonts w:ascii="楷体_GB2312" w:eastAsia="楷体_GB2312" w:hAnsi="Times New Roman Regular" w:cs="Times New Roman Regular" w:hint="eastAsia"/>
          <w:szCs w:val="22"/>
          <w:lang w:eastAsia="zh-Hans"/>
        </w:rPr>
        <w:t>二</w:t>
      </w:r>
      <w:r w:rsidRPr="00CB4ED9">
        <w:rPr>
          <w:rFonts w:ascii="楷体_GB2312" w:eastAsia="楷体_GB2312" w:hAnsi="Times New Roman Regular" w:cs="Times New Roman Regular" w:hint="eastAsia"/>
          <w:szCs w:val="22"/>
          <w:lang w:eastAsia="zh-Hans"/>
        </w:rPr>
        <w:t>）</w:t>
      </w:r>
      <w:r>
        <w:rPr>
          <w:rFonts w:ascii="楷体_GB2312" w:eastAsia="楷体_GB2312" w:hAnsi="Times New Roman Regular" w:cs="Times New Roman Regular" w:hint="eastAsia"/>
          <w:szCs w:val="22"/>
          <w:lang w:eastAsia="zh-Hans"/>
        </w:rPr>
        <w:t>可行</w:t>
      </w:r>
      <w:r w:rsidRPr="00CB4ED9">
        <w:rPr>
          <w:rFonts w:ascii="楷体_GB2312" w:eastAsia="楷体_GB2312" w:hAnsi="Times New Roman Regular" w:cs="Times New Roman Regular" w:hint="eastAsia"/>
          <w:szCs w:val="22"/>
          <w:lang w:eastAsia="zh-Hans"/>
        </w:rPr>
        <w:t>性分析</w:t>
      </w:r>
    </w:p>
    <w:p w14:paraId="52A96BE8" w14:textId="03F2692B" w:rsidR="00F459B3" w:rsidRPr="00B66967" w:rsidRDefault="00B66967" w:rsidP="003E2FA0">
      <w:pPr>
        <w:overflowPunct w:val="0"/>
        <w:ind w:firstLine="640"/>
      </w:pPr>
      <w:r>
        <w:rPr>
          <w:rFonts w:hint="eastAsia"/>
          <w:szCs w:val="32"/>
        </w:rPr>
        <w:t>一是</w:t>
      </w:r>
      <w:r w:rsidR="00F459B3">
        <w:rPr>
          <w:szCs w:val="32"/>
        </w:rPr>
        <w:t>《若干措施》符合当前郑州经济发展的水平和形势，顺应郑州在国家中心城市定位、数字经济等方面的发展要求，《若干措施》</w:t>
      </w:r>
      <w:r>
        <w:rPr>
          <w:rFonts w:hint="eastAsia"/>
        </w:rPr>
        <w:t>从市场主体、核心产业、生态体系等方面出台针对性的</w:t>
      </w:r>
      <w:r>
        <w:rPr>
          <w:rFonts w:hint="eastAsia"/>
        </w:rPr>
        <w:lastRenderedPageBreak/>
        <w:t>政策，全面推动数据要素产业发展。二是</w:t>
      </w:r>
      <w:r w:rsidR="00DC7EBA">
        <w:rPr>
          <w:szCs w:val="32"/>
        </w:rPr>
        <w:t>《若干措施》</w:t>
      </w:r>
      <w:r w:rsidRPr="00B66967">
        <w:rPr>
          <w:rFonts w:hint="eastAsia"/>
        </w:rPr>
        <w:t>明确了申请主体</w:t>
      </w:r>
      <w:r w:rsidR="00DC7EBA">
        <w:rPr>
          <w:rFonts w:hint="eastAsia"/>
        </w:rPr>
        <w:t>和</w:t>
      </w:r>
      <w:r w:rsidRPr="00B66967">
        <w:rPr>
          <w:rFonts w:hint="eastAsia"/>
        </w:rPr>
        <w:t>奖补标准，以及对</w:t>
      </w:r>
      <w:r w:rsidR="00DC7EBA">
        <w:rPr>
          <w:rFonts w:hint="eastAsia"/>
        </w:rPr>
        <w:t>“一事一议”事项、</w:t>
      </w:r>
      <w:r w:rsidRPr="00B66967">
        <w:rPr>
          <w:rFonts w:hint="eastAsia"/>
        </w:rPr>
        <w:t>“就高不重复”和择优支持原则、实施日期和有效期等情况进行了说明，</w:t>
      </w:r>
      <w:r w:rsidR="00BE4E8F">
        <w:rPr>
          <w:rFonts w:hint="eastAsia"/>
        </w:rPr>
        <w:t>为</w:t>
      </w:r>
      <w:r w:rsidRPr="00B66967">
        <w:rPr>
          <w:rFonts w:hint="eastAsia"/>
        </w:rPr>
        <w:t>《若干措施》</w:t>
      </w:r>
      <w:r w:rsidR="00BE4E8F">
        <w:rPr>
          <w:rFonts w:hint="eastAsia"/>
        </w:rPr>
        <w:t>的</w:t>
      </w:r>
      <w:r>
        <w:rPr>
          <w:rFonts w:hint="eastAsia"/>
        </w:rPr>
        <w:t>实施</w:t>
      </w:r>
      <w:r w:rsidR="00BE4E8F">
        <w:rPr>
          <w:rFonts w:hint="eastAsia"/>
        </w:rPr>
        <w:t>提供支撑</w:t>
      </w:r>
      <w:r w:rsidRPr="00B66967">
        <w:rPr>
          <w:rFonts w:hint="eastAsia"/>
        </w:rPr>
        <w:t>。</w:t>
      </w:r>
      <w:r>
        <w:rPr>
          <w:rFonts w:hint="eastAsia"/>
        </w:rPr>
        <w:t>三是</w:t>
      </w:r>
      <w:r>
        <w:rPr>
          <w:rFonts w:ascii="仿宋_GB2312" w:hint="eastAsia"/>
          <w:bCs/>
          <w:szCs w:val="32"/>
        </w:rPr>
        <w:t>《若干措施》实施由市</w:t>
      </w:r>
      <w:r w:rsidR="000254A7">
        <w:rPr>
          <w:rFonts w:ascii="仿宋_GB2312" w:hint="eastAsia"/>
          <w:bCs/>
          <w:szCs w:val="32"/>
        </w:rPr>
        <w:t>数据主管部门</w:t>
      </w:r>
      <w:r>
        <w:rPr>
          <w:rFonts w:ascii="仿宋_GB2312" w:hint="eastAsia"/>
          <w:bCs/>
          <w:szCs w:val="32"/>
        </w:rPr>
        <w:t>统筹推进，</w:t>
      </w:r>
      <w:r w:rsidR="00BE4E8F">
        <w:rPr>
          <w:rFonts w:ascii="仿宋_GB2312" w:hint="eastAsia"/>
          <w:bCs/>
          <w:szCs w:val="32"/>
        </w:rPr>
        <w:t>根据工作需要</w:t>
      </w:r>
      <w:r>
        <w:rPr>
          <w:rFonts w:ascii="仿宋_GB2312" w:hint="eastAsia"/>
          <w:bCs/>
          <w:szCs w:val="32"/>
        </w:rPr>
        <w:t>，选择符合要求的专家组成评议专家组，进行企业评优</w:t>
      </w:r>
      <w:r w:rsidR="00BE4E8F">
        <w:rPr>
          <w:rFonts w:ascii="仿宋_GB2312" w:hint="eastAsia"/>
          <w:bCs/>
          <w:szCs w:val="32"/>
        </w:rPr>
        <w:t>，为</w:t>
      </w:r>
      <w:r>
        <w:rPr>
          <w:rFonts w:ascii="仿宋_GB2312" w:hint="eastAsia"/>
          <w:bCs/>
          <w:szCs w:val="32"/>
        </w:rPr>
        <w:t>政策落实</w:t>
      </w:r>
      <w:r w:rsidR="00BE4E8F">
        <w:rPr>
          <w:rFonts w:ascii="仿宋_GB2312" w:hint="eastAsia"/>
          <w:bCs/>
          <w:szCs w:val="32"/>
        </w:rPr>
        <w:t>提供</w:t>
      </w:r>
      <w:r>
        <w:rPr>
          <w:rFonts w:ascii="仿宋_GB2312" w:hint="eastAsia"/>
          <w:bCs/>
          <w:szCs w:val="32"/>
        </w:rPr>
        <w:t>组织和人员保障。</w:t>
      </w:r>
      <w:r w:rsidR="00BE4E8F">
        <w:rPr>
          <w:rFonts w:ascii="仿宋_GB2312" w:hint="eastAsia"/>
          <w:bCs/>
          <w:szCs w:val="32"/>
        </w:rPr>
        <w:t>四是</w:t>
      </w:r>
      <w:r w:rsidR="00304DF4">
        <w:rPr>
          <w:rFonts w:ascii="仿宋_GB2312" w:hint="eastAsia"/>
          <w:bCs/>
          <w:szCs w:val="32"/>
        </w:rPr>
        <w:t>《若干措施》作为《行动计划》的配套文件，在</w:t>
      </w:r>
      <w:r w:rsidR="00304DF4">
        <w:rPr>
          <w:rFonts w:hint="eastAsia"/>
          <w:szCs w:val="32"/>
        </w:rPr>
        <w:t>《行动计划》</w:t>
      </w:r>
      <w:r w:rsidR="00304DF4" w:rsidRPr="0092192D">
        <w:rPr>
          <w:rFonts w:hint="eastAsia"/>
          <w:szCs w:val="32"/>
        </w:rPr>
        <w:t>已经市政府常务会议审议通过</w:t>
      </w:r>
      <w:r w:rsidR="00DC7EBA">
        <w:rPr>
          <w:rFonts w:hint="eastAsia"/>
          <w:szCs w:val="32"/>
        </w:rPr>
        <w:t>并</w:t>
      </w:r>
      <w:r w:rsidR="00304DF4">
        <w:rPr>
          <w:rFonts w:hint="eastAsia"/>
          <w:szCs w:val="32"/>
        </w:rPr>
        <w:t>公开发布，《若干措施》的出台时机恰当，且</w:t>
      </w:r>
      <w:r w:rsidR="00304DF4" w:rsidRPr="0092192D">
        <w:rPr>
          <w:rFonts w:hint="eastAsia"/>
          <w:szCs w:val="32"/>
        </w:rPr>
        <w:t>与《行动计划》的要求相符，为将郑州打造成为全国重要的“数仓、数纽、数港”的目标提供了有力支撑</w:t>
      </w:r>
      <w:r w:rsidR="00304DF4">
        <w:rPr>
          <w:rFonts w:hint="eastAsia"/>
          <w:szCs w:val="32"/>
        </w:rPr>
        <w:t>。</w:t>
      </w:r>
    </w:p>
    <w:p w14:paraId="4B313074" w14:textId="77777777" w:rsidR="00365CBF" w:rsidRDefault="00000000">
      <w:pPr>
        <w:pStyle w:val="1"/>
        <w:ind w:firstLine="640"/>
      </w:pPr>
      <w:r>
        <w:rPr>
          <w:rFonts w:hint="eastAsia"/>
        </w:rPr>
        <w:t>二、背景依据</w:t>
      </w:r>
    </w:p>
    <w:p w14:paraId="253A5443" w14:textId="6592BA33" w:rsidR="004041DA" w:rsidRDefault="00000000" w:rsidP="004041DA">
      <w:pPr>
        <w:snapToGrid w:val="0"/>
        <w:ind w:firstLine="640"/>
      </w:pPr>
      <w:bookmarkStart w:id="1" w:name="_Hlk150863723"/>
      <w:r>
        <w:t>2022</w:t>
      </w:r>
      <w:r>
        <w:t>年</w:t>
      </w:r>
      <w:r>
        <w:t>12</w:t>
      </w:r>
      <w:r>
        <w:t>月，中共中央、国务院印发《关于构建数据基础制度更好发挥数据要素作用的意见》（中发〔</w:t>
      </w:r>
      <w:r>
        <w:t>2022</w:t>
      </w:r>
      <w:r>
        <w:t>〕</w:t>
      </w:r>
      <w:r>
        <w:t>32</w:t>
      </w:r>
      <w:r>
        <w:t>号），提出要</w:t>
      </w:r>
      <w:r w:rsidR="009C197A" w:rsidRPr="009C197A">
        <w:rPr>
          <w:rFonts w:hint="eastAsia"/>
        </w:rPr>
        <w:t>充分发挥市场在资源配置中的决定性作用</w:t>
      </w:r>
      <w:r w:rsidR="009C197A">
        <w:rPr>
          <w:rFonts w:hint="eastAsia"/>
        </w:rPr>
        <w:t>，</w:t>
      </w:r>
      <w:r w:rsidR="009C197A" w:rsidRPr="009C197A">
        <w:rPr>
          <w:rFonts w:hint="eastAsia"/>
        </w:rPr>
        <w:t>加快发展数据要素市场</w:t>
      </w:r>
      <w:r w:rsidR="009C197A">
        <w:rPr>
          <w:rFonts w:hint="eastAsia"/>
        </w:rPr>
        <w:t>，</w:t>
      </w:r>
      <w:r w:rsidR="009C197A" w:rsidRPr="009C197A">
        <w:rPr>
          <w:rFonts w:hint="eastAsia"/>
        </w:rPr>
        <w:t>做大做强数据要素型企业</w:t>
      </w:r>
      <w:r w:rsidR="009C197A">
        <w:rPr>
          <w:rFonts w:hint="eastAsia"/>
        </w:rPr>
        <w:t>，</w:t>
      </w:r>
      <w:r w:rsidR="009C197A" w:rsidRPr="009C197A">
        <w:rPr>
          <w:rFonts w:hint="eastAsia"/>
        </w:rPr>
        <w:t>培育数据要素流通和交易服务生态</w:t>
      </w:r>
      <w:r>
        <w:t>。河南省委省政府紧抓数据要素市场化配置改革的机遇，出台《中共河南省委</w:t>
      </w:r>
      <w:r>
        <w:t xml:space="preserve"> </w:t>
      </w:r>
      <w:r>
        <w:t>河南省人民政府关于构建更加完善的要素市场化配置体制机制的实施意见》（豫发〔</w:t>
      </w:r>
      <w:r>
        <w:t>2021</w:t>
      </w:r>
      <w:r>
        <w:t>〕</w:t>
      </w:r>
      <w:r>
        <w:t>9</w:t>
      </w:r>
      <w:r>
        <w:t>号），并确定郑州等</w:t>
      </w:r>
      <w:r>
        <w:t>5</w:t>
      </w:r>
      <w:r>
        <w:t>地市作为河南省数据要素市场培育试点城市</w:t>
      </w:r>
      <w:r w:rsidR="009C197A">
        <w:rPr>
          <w:rFonts w:hint="eastAsia"/>
        </w:rPr>
        <w:t>；发布《河南省制造强省建设领导小组办公室关于组织开展河南省数据要素市场培育城市试点工作的通知》（</w:t>
      </w:r>
      <w:r w:rsidR="009C197A" w:rsidRPr="009C197A">
        <w:rPr>
          <w:rFonts w:hint="eastAsia"/>
        </w:rPr>
        <w:t>豫制造强省办〔</w:t>
      </w:r>
      <w:r w:rsidR="009C197A" w:rsidRPr="009C197A">
        <w:rPr>
          <w:rFonts w:hint="eastAsia"/>
        </w:rPr>
        <w:t>2022</w:t>
      </w:r>
      <w:r w:rsidR="009C197A" w:rsidRPr="009C197A">
        <w:rPr>
          <w:rFonts w:hint="eastAsia"/>
        </w:rPr>
        <w:t>〕</w:t>
      </w:r>
      <w:r w:rsidR="009C197A" w:rsidRPr="009C197A">
        <w:rPr>
          <w:rFonts w:hint="eastAsia"/>
        </w:rPr>
        <w:t>39</w:t>
      </w:r>
      <w:r w:rsidR="009C197A" w:rsidRPr="009C197A">
        <w:rPr>
          <w:rFonts w:hint="eastAsia"/>
        </w:rPr>
        <w:t>号</w:t>
      </w:r>
      <w:r w:rsidR="009C197A">
        <w:rPr>
          <w:rFonts w:hint="eastAsia"/>
        </w:rPr>
        <w:t>），明确</w:t>
      </w:r>
      <w:r w:rsidR="009C197A" w:rsidRPr="009C197A">
        <w:rPr>
          <w:rFonts w:hint="eastAsia"/>
        </w:rPr>
        <w:t>培育壮大数据要素市场主体，构建以数据要素为核</w:t>
      </w:r>
      <w:r w:rsidR="009C197A" w:rsidRPr="009C197A">
        <w:rPr>
          <w:rFonts w:hint="eastAsia"/>
        </w:rPr>
        <w:lastRenderedPageBreak/>
        <w:t>心的数商生态，建设数据要素产业园（基地）等产业发展载体</w:t>
      </w:r>
      <w:r w:rsidR="009C197A">
        <w:rPr>
          <w:rFonts w:hint="eastAsia"/>
        </w:rPr>
        <w:t>。</w:t>
      </w:r>
      <w:r>
        <w:t>我市加快推进数据要素市场化配置改革工作，积极探索践行</w:t>
      </w:r>
      <w:r>
        <w:rPr>
          <w:rFonts w:hint="eastAsia"/>
          <w:lang w:eastAsia="zh-Hans"/>
        </w:rPr>
        <w:t>“</w:t>
      </w:r>
      <w:r>
        <w:t>制度</w:t>
      </w:r>
      <w:r>
        <w:t>+</w:t>
      </w:r>
      <w:r>
        <w:t>技术</w:t>
      </w:r>
      <w:r>
        <w:t>+</w:t>
      </w:r>
      <w:r>
        <w:t>市场</w:t>
      </w:r>
      <w:r>
        <w:rPr>
          <w:rFonts w:hint="eastAsia"/>
          <w:lang w:eastAsia="zh-Hans"/>
        </w:rPr>
        <w:t>”</w:t>
      </w:r>
      <w:r>
        <w:t>的郑州特色改革路径，全面开展</w:t>
      </w:r>
      <w:r>
        <w:rPr>
          <w:rFonts w:hint="eastAsia"/>
        </w:rPr>
        <w:t>数据要素市场化配置改革</w:t>
      </w:r>
      <w:r>
        <w:t>总体设计，</w:t>
      </w:r>
      <w:r w:rsidR="004041DA" w:rsidRPr="00B139F0">
        <w:rPr>
          <w:rFonts w:hint="eastAsia"/>
        </w:rPr>
        <w:t>《</w:t>
      </w:r>
      <w:r w:rsidR="004041DA">
        <w:rPr>
          <w:rFonts w:hint="eastAsia"/>
        </w:rPr>
        <w:t>行动计划</w:t>
      </w:r>
      <w:r w:rsidR="004041DA" w:rsidRPr="00B139F0">
        <w:rPr>
          <w:rFonts w:hint="eastAsia"/>
        </w:rPr>
        <w:t>》</w:t>
      </w:r>
      <w:r w:rsidR="005E4B64">
        <w:rPr>
          <w:rFonts w:hint="eastAsia"/>
        </w:rPr>
        <w:t>已于</w:t>
      </w:r>
      <w:r w:rsidR="005E4B64">
        <w:rPr>
          <w:rFonts w:hint="eastAsia"/>
        </w:rPr>
        <w:t>2</w:t>
      </w:r>
      <w:r w:rsidR="005E4B64">
        <w:t>023</w:t>
      </w:r>
      <w:r w:rsidR="005E4B64">
        <w:rPr>
          <w:rFonts w:hint="eastAsia"/>
        </w:rPr>
        <w:t>年</w:t>
      </w:r>
      <w:r w:rsidR="005E4B64">
        <w:rPr>
          <w:rFonts w:hint="eastAsia"/>
        </w:rPr>
        <w:t>1</w:t>
      </w:r>
      <w:r w:rsidR="005E4B64">
        <w:t>2</w:t>
      </w:r>
      <w:r w:rsidR="005E4B64">
        <w:rPr>
          <w:rFonts w:hint="eastAsia"/>
        </w:rPr>
        <w:t>月</w:t>
      </w:r>
      <w:r w:rsidR="004041DA">
        <w:rPr>
          <w:rFonts w:hint="eastAsia"/>
        </w:rPr>
        <w:t>对外公开发布。</w:t>
      </w:r>
    </w:p>
    <w:p w14:paraId="5CF0823C" w14:textId="77777777" w:rsidR="004041DA" w:rsidRDefault="004041DA" w:rsidP="004041DA">
      <w:pPr>
        <w:snapToGrid w:val="0"/>
        <w:ind w:firstLine="640"/>
      </w:pPr>
      <w:r w:rsidRPr="008801E9">
        <w:rPr>
          <w:rFonts w:hint="eastAsia"/>
        </w:rPr>
        <w:t>《若干措施》针对数据要素产业发展初期阶段，出台针对性具体扶持措施，</w:t>
      </w:r>
      <w:r>
        <w:rPr>
          <w:rFonts w:hint="eastAsia"/>
        </w:rPr>
        <w:t>鼓励新设和</w:t>
      </w:r>
      <w:r w:rsidRPr="008801E9">
        <w:rPr>
          <w:rFonts w:hint="eastAsia"/>
        </w:rPr>
        <w:t>培育壮大数据要素型企业，推动数据资源在郑州汇聚融合，繁荣数据创新应用，</w:t>
      </w:r>
      <w:r>
        <w:rPr>
          <w:rFonts w:hint="eastAsia"/>
        </w:rPr>
        <w:t>强化普惠服务供给，支持企业推广宣传</w:t>
      </w:r>
      <w:r w:rsidRPr="008801E9">
        <w:rPr>
          <w:rFonts w:hint="eastAsia"/>
        </w:rPr>
        <w:t>，引导产业载体服务数据要素产业集聚发展，为我市加快构建全国数据交易改革创新策源地、数据要素配置重要枢纽节点和数据要素产业发展高地做好规划部署</w:t>
      </w:r>
      <w:r>
        <w:rPr>
          <w:rFonts w:hint="eastAsia"/>
        </w:rPr>
        <w:t>。</w:t>
      </w:r>
    </w:p>
    <w:bookmarkEnd w:id="1"/>
    <w:p w14:paraId="1B691495" w14:textId="77777777" w:rsidR="00365CBF" w:rsidRDefault="00000000">
      <w:pPr>
        <w:pStyle w:val="1"/>
        <w:ind w:firstLine="640"/>
      </w:pPr>
      <w:r>
        <w:rPr>
          <w:rFonts w:hint="eastAsia"/>
        </w:rPr>
        <w:t>三、起草及征求意见情况</w:t>
      </w:r>
    </w:p>
    <w:p w14:paraId="294761A3" w14:textId="77777777" w:rsidR="00365CBF" w:rsidRDefault="00000000">
      <w:pPr>
        <w:ind w:firstLine="640"/>
        <w:rPr>
          <w:rFonts w:cs="Times New Roman"/>
          <w:kern w:val="0"/>
          <w:szCs w:val="32"/>
          <w:lang w:val="en"/>
        </w:rPr>
      </w:pPr>
      <w:r>
        <w:rPr>
          <w:rFonts w:eastAsia="楷体" w:cs="Times New Roman"/>
          <w:szCs w:val="32"/>
        </w:rPr>
        <w:t>（一）</w:t>
      </w:r>
      <w:r>
        <w:rPr>
          <w:rFonts w:eastAsia="楷体" w:cs="Times New Roman" w:hint="eastAsia"/>
          <w:szCs w:val="32"/>
          <w:lang w:val="zh-CN"/>
        </w:rPr>
        <w:t>前期准备和调研阶段</w:t>
      </w:r>
      <w:r>
        <w:rPr>
          <w:rFonts w:eastAsia="楷体" w:cs="Times New Roman"/>
          <w:szCs w:val="32"/>
        </w:rPr>
        <w:t>。</w:t>
      </w:r>
      <w:r>
        <w:rPr>
          <w:rFonts w:hint="eastAsia"/>
          <w:lang w:val="zh-CN"/>
        </w:rPr>
        <w:t>从</w:t>
      </w:r>
      <w:r>
        <w:rPr>
          <w:rFonts w:hint="eastAsia"/>
          <w:lang w:val="zh-CN"/>
        </w:rPr>
        <w:t>2022</w:t>
      </w:r>
      <w:r>
        <w:rPr>
          <w:rFonts w:hint="eastAsia"/>
          <w:lang w:val="zh-CN"/>
        </w:rPr>
        <w:t>年</w:t>
      </w:r>
      <w:r>
        <w:rPr>
          <w:rFonts w:hint="eastAsia"/>
          <w:lang w:val="zh-CN"/>
        </w:rPr>
        <w:t>9</w:t>
      </w:r>
      <w:r>
        <w:rPr>
          <w:rFonts w:hint="eastAsia"/>
          <w:lang w:val="zh-CN"/>
        </w:rPr>
        <w:t>月开始，我局实地调研走访</w:t>
      </w:r>
      <w:r>
        <w:rPr>
          <w:rFonts w:hint="eastAsia"/>
          <w:lang w:val="zh-CN"/>
        </w:rPr>
        <w:t>32</w:t>
      </w:r>
      <w:r>
        <w:rPr>
          <w:rFonts w:hint="eastAsia"/>
          <w:lang w:val="zh-CN"/>
        </w:rPr>
        <w:t>个委办局和</w:t>
      </w:r>
      <w:r>
        <w:rPr>
          <w:rFonts w:hint="eastAsia"/>
          <w:lang w:val="zh-CN"/>
        </w:rPr>
        <w:t>26</w:t>
      </w:r>
      <w:r>
        <w:rPr>
          <w:rFonts w:hint="eastAsia"/>
          <w:lang w:val="zh-CN"/>
        </w:rPr>
        <w:t>家本市重点企业，并广泛征集专家学者、企事业单位等各界意见建议，形成了《调研报告》</w:t>
      </w:r>
      <w:r>
        <w:rPr>
          <w:rFonts w:cs="Times New Roman"/>
          <w:kern w:val="0"/>
          <w:szCs w:val="32"/>
          <w:lang w:val="en"/>
        </w:rPr>
        <w:t>。</w:t>
      </w:r>
    </w:p>
    <w:p w14:paraId="327964F6" w14:textId="0E91A976" w:rsidR="00365CBF" w:rsidRDefault="00000000">
      <w:pPr>
        <w:ind w:firstLine="640"/>
        <w:rPr>
          <w:rFonts w:cs="Times New Roman"/>
          <w:szCs w:val="32"/>
          <w:lang w:val="en"/>
        </w:rPr>
      </w:pPr>
      <w:r>
        <w:rPr>
          <w:rFonts w:eastAsia="楷体" w:cs="Times New Roman"/>
          <w:szCs w:val="32"/>
        </w:rPr>
        <w:t>（二）</w:t>
      </w:r>
      <w:r>
        <w:rPr>
          <w:rFonts w:eastAsia="楷体" w:cs="Times New Roman" w:hint="eastAsia"/>
          <w:szCs w:val="32"/>
          <w:lang w:val="zh-CN"/>
        </w:rPr>
        <w:t>《</w:t>
      </w:r>
      <w:r w:rsidR="00D042CA">
        <w:rPr>
          <w:rFonts w:eastAsia="楷体" w:cs="Times New Roman" w:hint="eastAsia"/>
          <w:szCs w:val="32"/>
          <w:lang w:val="zh-CN"/>
        </w:rPr>
        <w:t>若干措施</w:t>
      </w:r>
      <w:r>
        <w:rPr>
          <w:rFonts w:eastAsia="楷体" w:cs="Times New Roman" w:hint="eastAsia"/>
          <w:szCs w:val="32"/>
          <w:lang w:val="zh-CN"/>
        </w:rPr>
        <w:t>》编制阶段</w:t>
      </w:r>
      <w:r>
        <w:rPr>
          <w:rFonts w:eastAsia="楷体" w:cs="Times New Roman"/>
          <w:szCs w:val="32"/>
        </w:rPr>
        <w:t>。</w:t>
      </w:r>
      <w:r>
        <w:rPr>
          <w:rFonts w:cs="Times New Roman" w:hint="eastAsia"/>
          <w:szCs w:val="32"/>
          <w:lang w:val="en"/>
        </w:rPr>
        <w:t>我局先后主持召开了</w:t>
      </w:r>
      <w:r>
        <w:rPr>
          <w:rFonts w:cs="Times New Roman" w:hint="eastAsia"/>
          <w:szCs w:val="32"/>
          <w:lang w:val="en"/>
        </w:rPr>
        <w:t>10</w:t>
      </w:r>
      <w:r>
        <w:rPr>
          <w:rFonts w:cs="Times New Roman" w:hint="eastAsia"/>
          <w:szCs w:val="32"/>
          <w:lang w:val="en"/>
        </w:rPr>
        <w:t>次局内专题</w:t>
      </w:r>
      <w:r w:rsidR="00D042CA">
        <w:rPr>
          <w:rFonts w:cs="Times New Roman" w:hint="eastAsia"/>
          <w:szCs w:val="32"/>
          <w:lang w:val="en"/>
        </w:rPr>
        <w:t>讨论</w:t>
      </w:r>
      <w:r>
        <w:rPr>
          <w:rFonts w:cs="Times New Roman" w:hint="eastAsia"/>
          <w:szCs w:val="32"/>
          <w:lang w:val="en"/>
        </w:rPr>
        <w:t>会，集中研究讨论了《</w:t>
      </w:r>
      <w:r w:rsidR="00D042CA">
        <w:rPr>
          <w:rFonts w:cs="Times New Roman" w:hint="eastAsia"/>
          <w:szCs w:val="32"/>
          <w:lang w:val="en"/>
        </w:rPr>
        <w:t>若干措施</w:t>
      </w:r>
      <w:r>
        <w:rPr>
          <w:rFonts w:cs="Times New Roman" w:hint="eastAsia"/>
          <w:szCs w:val="32"/>
          <w:lang w:val="en"/>
        </w:rPr>
        <w:t>》</w:t>
      </w:r>
      <w:bookmarkStart w:id="2" w:name="_Hlk150864046"/>
      <w:r w:rsidR="00D042CA">
        <w:rPr>
          <w:rFonts w:cs="Times New Roman" w:hint="eastAsia"/>
          <w:szCs w:val="32"/>
          <w:lang w:val="en"/>
        </w:rPr>
        <w:t>的适用范围、市场主体、核心产业、生态体系</w:t>
      </w:r>
      <w:r>
        <w:rPr>
          <w:rFonts w:cs="Times New Roman" w:hint="eastAsia"/>
          <w:szCs w:val="32"/>
          <w:lang w:val="en"/>
        </w:rPr>
        <w:t>等重点</w:t>
      </w:r>
      <w:r w:rsidR="00D042CA">
        <w:rPr>
          <w:rFonts w:cs="Times New Roman" w:hint="eastAsia"/>
          <w:szCs w:val="32"/>
          <w:lang w:val="en"/>
        </w:rPr>
        <w:t>措施</w:t>
      </w:r>
      <w:r>
        <w:rPr>
          <w:rFonts w:cs="Times New Roman" w:hint="eastAsia"/>
          <w:szCs w:val="32"/>
          <w:lang w:val="en"/>
        </w:rPr>
        <w:t>，完成了《</w:t>
      </w:r>
      <w:r w:rsidR="00D042CA">
        <w:rPr>
          <w:rFonts w:cs="Times New Roman" w:hint="eastAsia"/>
          <w:szCs w:val="32"/>
          <w:lang w:val="en"/>
        </w:rPr>
        <w:t>若干措施</w:t>
      </w:r>
      <w:r>
        <w:rPr>
          <w:rFonts w:cs="Times New Roman" w:hint="eastAsia"/>
          <w:szCs w:val="32"/>
          <w:lang w:val="en"/>
        </w:rPr>
        <w:t>》</w:t>
      </w:r>
      <w:r w:rsidR="00D042CA">
        <w:rPr>
          <w:rFonts w:cs="Times New Roman" w:hint="eastAsia"/>
          <w:szCs w:val="32"/>
          <w:lang w:val="en"/>
        </w:rPr>
        <w:t>专家论证</w:t>
      </w:r>
      <w:r>
        <w:rPr>
          <w:rFonts w:cs="Times New Roman" w:hint="eastAsia"/>
          <w:szCs w:val="32"/>
          <w:lang w:val="en"/>
        </w:rPr>
        <w:t>稿</w:t>
      </w:r>
      <w:bookmarkEnd w:id="2"/>
      <w:r>
        <w:rPr>
          <w:rFonts w:cs="Times New Roman" w:hint="eastAsia"/>
          <w:szCs w:val="32"/>
          <w:lang w:val="en"/>
        </w:rPr>
        <w:t>。</w:t>
      </w:r>
    </w:p>
    <w:p w14:paraId="7622F46D" w14:textId="171114BC" w:rsidR="00365CBF" w:rsidRDefault="00000000">
      <w:pPr>
        <w:pStyle w:val="aa"/>
        <w:ind w:firstLineChars="200" w:firstLine="640"/>
        <w:rPr>
          <w:rFonts w:cs="Times New Roman"/>
          <w:kern w:val="0"/>
          <w:szCs w:val="32"/>
          <w:lang w:val="en"/>
        </w:rPr>
      </w:pPr>
      <w:r>
        <w:rPr>
          <w:rFonts w:eastAsia="楷体" w:cs="Times New Roman"/>
          <w:szCs w:val="32"/>
        </w:rPr>
        <w:t>（三）</w:t>
      </w:r>
      <w:r>
        <w:rPr>
          <w:rFonts w:eastAsia="楷体" w:cs="Times New Roman" w:hint="eastAsia"/>
          <w:szCs w:val="32"/>
          <w:lang w:val="zh-CN"/>
        </w:rPr>
        <w:t>专家论证阶段</w:t>
      </w:r>
      <w:r>
        <w:rPr>
          <w:rFonts w:eastAsia="楷体" w:cs="Times New Roman"/>
          <w:szCs w:val="32"/>
          <w:lang w:eastAsia="zh-Hans"/>
        </w:rPr>
        <w:t>。</w:t>
      </w:r>
      <w:bookmarkStart w:id="3" w:name="_Hlk150864074"/>
      <w:r>
        <w:rPr>
          <w:rFonts w:cs="Times New Roman" w:hint="eastAsia"/>
          <w:kern w:val="0"/>
          <w:szCs w:val="32"/>
          <w:lang w:val="en"/>
        </w:rPr>
        <w:t>2023</w:t>
      </w:r>
      <w:r>
        <w:rPr>
          <w:rFonts w:cs="Times New Roman" w:hint="eastAsia"/>
          <w:kern w:val="0"/>
          <w:szCs w:val="32"/>
          <w:lang w:val="en"/>
        </w:rPr>
        <w:t>年</w:t>
      </w:r>
      <w:r w:rsidR="00D042CA">
        <w:rPr>
          <w:rFonts w:cs="Times New Roman"/>
          <w:kern w:val="0"/>
          <w:szCs w:val="32"/>
          <w:lang w:val="en"/>
        </w:rPr>
        <w:t>9</w:t>
      </w:r>
      <w:r>
        <w:rPr>
          <w:rFonts w:cs="Times New Roman" w:hint="eastAsia"/>
          <w:kern w:val="0"/>
          <w:szCs w:val="32"/>
          <w:lang w:val="en"/>
        </w:rPr>
        <w:t>月</w:t>
      </w:r>
      <w:r>
        <w:rPr>
          <w:rFonts w:cs="Times New Roman" w:hint="eastAsia"/>
          <w:kern w:val="0"/>
          <w:szCs w:val="32"/>
          <w:lang w:val="en"/>
        </w:rPr>
        <w:t>21</w:t>
      </w:r>
      <w:r>
        <w:rPr>
          <w:rFonts w:cs="Times New Roman" w:hint="eastAsia"/>
          <w:kern w:val="0"/>
          <w:szCs w:val="32"/>
          <w:lang w:val="en"/>
        </w:rPr>
        <w:t>日我局组织开展专家论证会，邀请国家、省、市数据要素</w:t>
      </w:r>
      <w:r w:rsidR="00D042CA">
        <w:rPr>
          <w:rFonts w:cs="Times New Roman" w:hint="eastAsia"/>
          <w:kern w:val="0"/>
          <w:szCs w:val="32"/>
          <w:lang w:val="en"/>
        </w:rPr>
        <w:t>产业</w:t>
      </w:r>
      <w:r>
        <w:rPr>
          <w:rFonts w:cs="Times New Roman" w:hint="eastAsia"/>
          <w:kern w:val="0"/>
          <w:szCs w:val="32"/>
          <w:lang w:val="en"/>
        </w:rPr>
        <w:t>专家对《</w:t>
      </w:r>
      <w:r w:rsidR="00D042CA">
        <w:rPr>
          <w:rFonts w:cs="Times New Roman" w:hint="eastAsia"/>
          <w:kern w:val="0"/>
          <w:szCs w:val="32"/>
          <w:lang w:val="en"/>
        </w:rPr>
        <w:t>若干措施</w:t>
      </w:r>
      <w:r>
        <w:rPr>
          <w:rFonts w:cs="Times New Roman" w:hint="eastAsia"/>
          <w:kern w:val="0"/>
          <w:szCs w:val="32"/>
          <w:lang w:val="en"/>
        </w:rPr>
        <w:t>》进行论证，充分吸收专家意见建议，进一步修改完善</w:t>
      </w:r>
      <w:r w:rsidR="00D042CA">
        <w:rPr>
          <w:rFonts w:cs="Times New Roman" w:hint="eastAsia"/>
          <w:kern w:val="0"/>
          <w:szCs w:val="32"/>
          <w:lang w:val="en"/>
        </w:rPr>
        <w:t>形成</w:t>
      </w:r>
      <w:r>
        <w:rPr>
          <w:rFonts w:cs="Times New Roman" w:hint="eastAsia"/>
          <w:kern w:val="0"/>
          <w:szCs w:val="32"/>
          <w:lang w:val="en"/>
        </w:rPr>
        <w:t>《</w:t>
      </w:r>
      <w:r w:rsidR="00D042CA">
        <w:rPr>
          <w:rFonts w:cs="Times New Roman" w:hint="eastAsia"/>
          <w:kern w:val="0"/>
          <w:szCs w:val="32"/>
          <w:lang w:val="en"/>
        </w:rPr>
        <w:t>若干措</w:t>
      </w:r>
      <w:r w:rsidR="00D042CA">
        <w:rPr>
          <w:rFonts w:cs="Times New Roman" w:hint="eastAsia"/>
          <w:kern w:val="0"/>
          <w:szCs w:val="32"/>
          <w:lang w:val="en"/>
        </w:rPr>
        <w:lastRenderedPageBreak/>
        <w:t>施</w:t>
      </w:r>
      <w:r>
        <w:rPr>
          <w:rFonts w:cs="Times New Roman" w:hint="eastAsia"/>
          <w:kern w:val="0"/>
          <w:szCs w:val="32"/>
          <w:lang w:val="en"/>
        </w:rPr>
        <w:t>》</w:t>
      </w:r>
      <w:r w:rsidR="00D042CA">
        <w:rPr>
          <w:rFonts w:cs="Times New Roman" w:hint="eastAsia"/>
          <w:kern w:val="0"/>
          <w:szCs w:val="32"/>
          <w:lang w:val="en"/>
        </w:rPr>
        <w:t>征求意见稿</w:t>
      </w:r>
      <w:bookmarkEnd w:id="3"/>
      <w:r>
        <w:rPr>
          <w:rFonts w:cs="Times New Roman" w:hint="eastAsia"/>
          <w:kern w:val="0"/>
          <w:szCs w:val="32"/>
          <w:lang w:val="en"/>
        </w:rPr>
        <w:t>。</w:t>
      </w:r>
    </w:p>
    <w:p w14:paraId="506E483E" w14:textId="3D4FBE5F" w:rsidR="00272EA3" w:rsidRPr="00272EA3" w:rsidRDefault="00272EA3">
      <w:pPr>
        <w:pStyle w:val="aa"/>
        <w:ind w:firstLineChars="200" w:firstLine="640"/>
        <w:rPr>
          <w:rFonts w:cs="Times New Roman"/>
          <w:kern w:val="0"/>
          <w:szCs w:val="32"/>
        </w:rPr>
      </w:pPr>
      <w:r w:rsidRPr="004041DA">
        <w:rPr>
          <w:rFonts w:eastAsia="楷体" w:cs="Times New Roman" w:hint="eastAsia"/>
          <w:szCs w:val="32"/>
          <w:lang w:val="zh-CN"/>
        </w:rPr>
        <w:t>（</w:t>
      </w:r>
      <w:r w:rsidRPr="004041DA">
        <w:rPr>
          <w:rFonts w:eastAsia="楷体" w:cs="Times New Roman" w:hint="eastAsia"/>
          <w:szCs w:val="32"/>
        </w:rPr>
        <w:t>四</w:t>
      </w:r>
      <w:r w:rsidRPr="004041DA">
        <w:rPr>
          <w:rFonts w:eastAsia="楷体" w:cs="Times New Roman" w:hint="eastAsia"/>
          <w:szCs w:val="32"/>
          <w:lang w:val="zh-CN"/>
        </w:rPr>
        <w:t>）征求意见阶段。</w:t>
      </w:r>
      <w:r w:rsidRPr="004041DA">
        <w:rPr>
          <w:rFonts w:cs="Times New Roman" w:hint="eastAsia"/>
          <w:kern w:val="0"/>
          <w:szCs w:val="32"/>
        </w:rPr>
        <w:t>我局于</w:t>
      </w:r>
      <w:r w:rsidRPr="004041DA">
        <w:rPr>
          <w:rFonts w:cs="Times New Roman" w:hint="eastAsia"/>
          <w:kern w:val="0"/>
          <w:szCs w:val="32"/>
        </w:rPr>
        <w:t>2023</w:t>
      </w:r>
      <w:r w:rsidRPr="004041DA">
        <w:rPr>
          <w:rFonts w:cs="Times New Roman" w:hint="eastAsia"/>
          <w:kern w:val="0"/>
          <w:szCs w:val="32"/>
        </w:rPr>
        <w:t>年</w:t>
      </w:r>
      <w:r w:rsidRPr="004041DA">
        <w:rPr>
          <w:rFonts w:cs="Times New Roman"/>
          <w:kern w:val="0"/>
          <w:szCs w:val="32"/>
        </w:rPr>
        <w:t>11</w:t>
      </w:r>
      <w:r w:rsidRPr="004041DA">
        <w:rPr>
          <w:rFonts w:cs="Times New Roman" w:hint="eastAsia"/>
          <w:kern w:val="0"/>
          <w:szCs w:val="32"/>
        </w:rPr>
        <w:t>月</w:t>
      </w:r>
      <w:r w:rsidRPr="004041DA">
        <w:rPr>
          <w:rFonts w:cs="Times New Roman" w:hint="eastAsia"/>
          <w:kern w:val="0"/>
          <w:szCs w:val="32"/>
        </w:rPr>
        <w:t>14</w:t>
      </w:r>
      <w:r w:rsidRPr="004041DA">
        <w:rPr>
          <w:rFonts w:cs="Times New Roman" w:hint="eastAsia"/>
          <w:kern w:val="0"/>
          <w:szCs w:val="32"/>
        </w:rPr>
        <w:t>日向市委、各开发区、区县（市）、市直有关部门等</w:t>
      </w:r>
      <w:r w:rsidRPr="004041DA">
        <w:rPr>
          <w:rFonts w:cs="Times New Roman"/>
          <w:kern w:val="0"/>
          <w:szCs w:val="32"/>
        </w:rPr>
        <w:t>49</w:t>
      </w:r>
      <w:r w:rsidRPr="004041DA">
        <w:rPr>
          <w:rFonts w:cs="Times New Roman" w:hint="eastAsia"/>
          <w:kern w:val="0"/>
          <w:szCs w:val="32"/>
        </w:rPr>
        <w:t>家单位征求意见，收集</w:t>
      </w:r>
      <w:r w:rsidR="004041DA" w:rsidRPr="004041DA">
        <w:rPr>
          <w:rFonts w:cs="Times New Roman"/>
          <w:kern w:val="0"/>
          <w:szCs w:val="32"/>
        </w:rPr>
        <w:t>1</w:t>
      </w:r>
      <w:r w:rsidR="005E4B64">
        <w:rPr>
          <w:rFonts w:cs="Times New Roman"/>
          <w:kern w:val="0"/>
          <w:szCs w:val="32"/>
        </w:rPr>
        <w:t>4</w:t>
      </w:r>
      <w:r w:rsidRPr="004041DA">
        <w:rPr>
          <w:rFonts w:cs="Times New Roman" w:hint="eastAsia"/>
          <w:kern w:val="0"/>
          <w:szCs w:val="32"/>
        </w:rPr>
        <w:t>条反馈意见，均已采纳或经与意见反馈单位沟通达成一致，最终形成《郑州市促进数据要素产业发展的若干措施》（送审稿）。</w:t>
      </w:r>
    </w:p>
    <w:p w14:paraId="53B35DBC" w14:textId="77777777" w:rsidR="00365CBF" w:rsidRDefault="00000000">
      <w:pPr>
        <w:pStyle w:val="1"/>
        <w:ind w:firstLine="640"/>
      </w:pPr>
      <w:r>
        <w:rPr>
          <w:rFonts w:hint="eastAsia"/>
        </w:rPr>
        <w:t>四、主要内容</w:t>
      </w:r>
    </w:p>
    <w:p w14:paraId="231FDB93" w14:textId="45ED8301" w:rsidR="00365CBF" w:rsidRDefault="00000000">
      <w:pPr>
        <w:ind w:firstLine="664"/>
        <w:rPr>
          <w:rFonts w:cs="Times New Roman"/>
          <w:snapToGrid w:val="0"/>
          <w:color w:val="000000"/>
          <w:spacing w:val="6"/>
        </w:rPr>
      </w:pPr>
      <w:bookmarkStart w:id="4" w:name="_Hlk150864157"/>
      <w:r>
        <w:rPr>
          <w:rFonts w:cs="Times New Roman"/>
          <w:snapToGrid w:val="0"/>
          <w:color w:val="000000"/>
          <w:spacing w:val="6"/>
        </w:rPr>
        <w:t>《</w:t>
      </w:r>
      <w:r w:rsidR="004946ED">
        <w:rPr>
          <w:rFonts w:hint="eastAsia"/>
          <w:lang w:val="zh-CN"/>
        </w:rPr>
        <w:t>若干措施</w:t>
      </w:r>
      <w:r>
        <w:rPr>
          <w:rFonts w:cs="Times New Roman"/>
          <w:snapToGrid w:val="0"/>
          <w:color w:val="000000"/>
          <w:spacing w:val="6"/>
        </w:rPr>
        <w:t>》</w:t>
      </w:r>
      <w:r>
        <w:rPr>
          <w:rFonts w:hint="eastAsia"/>
        </w:rPr>
        <w:t>由五个部分构成，包括</w:t>
      </w:r>
      <w:r w:rsidR="004946ED">
        <w:rPr>
          <w:rFonts w:hint="eastAsia"/>
        </w:rPr>
        <w:t>适用范围</w:t>
      </w:r>
      <w:r>
        <w:rPr>
          <w:rFonts w:hint="eastAsia"/>
        </w:rPr>
        <w:t>、</w:t>
      </w:r>
      <w:r w:rsidR="00DC7EBA">
        <w:rPr>
          <w:rFonts w:hint="eastAsia"/>
        </w:rPr>
        <w:t>加快</w:t>
      </w:r>
      <w:r w:rsidR="004946ED">
        <w:rPr>
          <w:rFonts w:hint="eastAsia"/>
        </w:rPr>
        <w:t>引育市场主体、支持发展核心产业、打造产业生态体系、其他事项</w:t>
      </w:r>
      <w:r>
        <w:rPr>
          <w:rFonts w:hint="eastAsia"/>
        </w:rPr>
        <w:t>部分</w:t>
      </w:r>
      <w:r>
        <w:rPr>
          <w:rFonts w:cs="Times New Roman"/>
          <w:snapToGrid w:val="0"/>
          <w:color w:val="000000"/>
          <w:spacing w:val="6"/>
        </w:rPr>
        <w:t>。</w:t>
      </w:r>
    </w:p>
    <w:p w14:paraId="18376DEC" w14:textId="43EFBDEA" w:rsidR="00365CBF" w:rsidRDefault="00000000">
      <w:pPr>
        <w:snapToGrid w:val="0"/>
        <w:ind w:firstLine="643"/>
        <w:rPr>
          <w:rFonts w:cs="Times New Roman"/>
        </w:rPr>
      </w:pPr>
      <w:r>
        <w:rPr>
          <w:rFonts w:cs="Times New Roman"/>
          <w:b/>
          <w:bCs/>
        </w:rPr>
        <w:t>第一</w:t>
      </w:r>
      <w:r>
        <w:rPr>
          <w:rFonts w:cs="Times New Roman" w:hint="eastAsia"/>
          <w:b/>
          <w:bCs/>
        </w:rPr>
        <w:t>部分</w:t>
      </w:r>
      <w:r>
        <w:rPr>
          <w:rFonts w:cs="Times New Roman"/>
          <w:b/>
          <w:bCs/>
        </w:rPr>
        <w:t>为</w:t>
      </w:r>
      <w:r w:rsidR="004946ED">
        <w:rPr>
          <w:rFonts w:cs="Times New Roman" w:hint="eastAsia"/>
          <w:b/>
          <w:bCs/>
        </w:rPr>
        <w:t>适用范围</w:t>
      </w:r>
      <w:r>
        <w:rPr>
          <w:rFonts w:cs="Times New Roman"/>
        </w:rPr>
        <w:t>，</w:t>
      </w:r>
      <w:r w:rsidR="004946ED">
        <w:rPr>
          <w:rFonts w:cs="Times New Roman" w:hint="eastAsia"/>
        </w:rPr>
        <w:t>明确本措施适用的对象，</w:t>
      </w:r>
      <w:r>
        <w:rPr>
          <w:rFonts w:cs="Times New Roman" w:hint="eastAsia"/>
        </w:rPr>
        <w:t>即</w:t>
      </w:r>
      <w:r w:rsidR="004946ED">
        <w:rPr>
          <w:rFonts w:cs="Times New Roman" w:hint="eastAsia"/>
        </w:rPr>
        <w:t>包括</w:t>
      </w:r>
      <w:r w:rsidR="004946ED" w:rsidRPr="009336C0">
        <w:rPr>
          <w:rFonts w:cs="Times New Roman" w:hint="eastAsia"/>
          <w:szCs w:val="32"/>
        </w:rPr>
        <w:t>在我市行政区域内登记注册和纳税、具有独立法人资格的数据要素型企业和产业园区运营主体</w:t>
      </w:r>
      <w:r>
        <w:rPr>
          <w:rFonts w:cs="Times New Roman" w:hint="eastAsia"/>
        </w:rPr>
        <w:t>。</w:t>
      </w:r>
      <w:r w:rsidR="004946ED">
        <w:rPr>
          <w:rFonts w:cs="Times New Roman" w:hint="eastAsia"/>
        </w:rPr>
        <w:t>并对数据要素型企业进一步明确</w:t>
      </w:r>
      <w:r w:rsidR="004946ED" w:rsidRPr="009336C0">
        <w:rPr>
          <w:rFonts w:cs="Times New Roman" w:hint="eastAsia"/>
          <w:szCs w:val="32"/>
          <w:lang w:eastAsia="zh-Hans"/>
        </w:rPr>
        <w:t>包括资源</w:t>
      </w:r>
      <w:r w:rsidR="005E4B64">
        <w:rPr>
          <w:rFonts w:cs="Times New Roman" w:hint="eastAsia"/>
          <w:szCs w:val="32"/>
          <w:lang w:eastAsia="zh-Hans"/>
        </w:rPr>
        <w:t>型、技术型、服务型、应用型</w:t>
      </w:r>
      <w:r w:rsidR="004946ED" w:rsidRPr="009336C0">
        <w:rPr>
          <w:rFonts w:cs="Times New Roman" w:hint="eastAsia"/>
          <w:szCs w:val="32"/>
        </w:rPr>
        <w:t>数据商，</w:t>
      </w:r>
      <w:r w:rsidR="005E4B64">
        <w:rPr>
          <w:rFonts w:cs="Times New Roman" w:hint="eastAsia"/>
          <w:szCs w:val="32"/>
        </w:rPr>
        <w:t>和</w:t>
      </w:r>
      <w:r w:rsidR="004946ED" w:rsidRPr="009336C0">
        <w:rPr>
          <w:rFonts w:cs="Times New Roman" w:hint="eastAsia"/>
          <w:szCs w:val="32"/>
        </w:rPr>
        <w:t>数据经纪、数据资产评估、数据合规认证、数据风险评估、数据人才培训等第三方专业服务机构。</w:t>
      </w:r>
    </w:p>
    <w:p w14:paraId="2180B035" w14:textId="736FC027" w:rsidR="00365CBF" w:rsidRDefault="00000000" w:rsidP="004C1660">
      <w:pPr>
        <w:snapToGrid w:val="0"/>
        <w:ind w:firstLine="643"/>
        <w:rPr>
          <w:rFonts w:cs="Times New Roman"/>
        </w:rPr>
      </w:pPr>
      <w:r>
        <w:rPr>
          <w:rFonts w:cs="Times New Roman"/>
          <w:b/>
          <w:bCs/>
        </w:rPr>
        <w:t>第二</w:t>
      </w:r>
      <w:r>
        <w:rPr>
          <w:rFonts w:cs="Times New Roman" w:hint="eastAsia"/>
          <w:b/>
          <w:bCs/>
        </w:rPr>
        <w:t>部分</w:t>
      </w:r>
      <w:r>
        <w:rPr>
          <w:rFonts w:cs="Times New Roman"/>
          <w:b/>
          <w:bCs/>
        </w:rPr>
        <w:t>为</w:t>
      </w:r>
      <w:r w:rsidR="00DC7EBA">
        <w:rPr>
          <w:rFonts w:cs="Times New Roman" w:hint="eastAsia"/>
          <w:b/>
          <w:bCs/>
        </w:rPr>
        <w:t>加快</w:t>
      </w:r>
      <w:r w:rsidR="004946ED">
        <w:rPr>
          <w:rFonts w:cs="Times New Roman" w:hint="eastAsia"/>
          <w:b/>
          <w:bCs/>
        </w:rPr>
        <w:t>引育市场主体</w:t>
      </w:r>
      <w:r>
        <w:rPr>
          <w:rFonts w:cs="Times New Roman"/>
        </w:rPr>
        <w:t>，</w:t>
      </w:r>
      <w:r w:rsidR="00212CDB">
        <w:rPr>
          <w:rFonts w:cs="Times New Roman" w:hint="eastAsia"/>
        </w:rPr>
        <w:t>从支持数据要素型企业设立和做大做强两个方面，分别针对性的提出了具体的奖补措施</w:t>
      </w:r>
      <w:r>
        <w:rPr>
          <w:rFonts w:cs="Times New Roman"/>
          <w:lang w:eastAsia="zh-Hans"/>
        </w:rPr>
        <w:t>。</w:t>
      </w:r>
    </w:p>
    <w:p w14:paraId="60F4A0F1" w14:textId="08A4DA1E" w:rsidR="00365CBF" w:rsidRDefault="00000000">
      <w:pPr>
        <w:snapToGrid w:val="0"/>
        <w:ind w:firstLine="643"/>
      </w:pPr>
      <w:r>
        <w:rPr>
          <w:b/>
          <w:bCs/>
        </w:rPr>
        <w:t>第三</w:t>
      </w:r>
      <w:r>
        <w:rPr>
          <w:rFonts w:hint="eastAsia"/>
          <w:b/>
          <w:bCs/>
        </w:rPr>
        <w:t>部分</w:t>
      </w:r>
      <w:r>
        <w:rPr>
          <w:b/>
          <w:bCs/>
        </w:rPr>
        <w:t>为</w:t>
      </w:r>
      <w:r w:rsidR="004C1660">
        <w:rPr>
          <w:rFonts w:hint="eastAsia"/>
          <w:b/>
          <w:bCs/>
        </w:rPr>
        <w:t>支持发展核心产业</w:t>
      </w:r>
      <w:r>
        <w:rPr>
          <w:b/>
          <w:bCs/>
        </w:rPr>
        <w:t>，</w:t>
      </w:r>
      <w:r>
        <w:t>主要</w:t>
      </w:r>
      <w:r w:rsidR="004C1660">
        <w:rPr>
          <w:rFonts w:hint="eastAsia"/>
        </w:rPr>
        <w:t>围绕数据资源、数据应用和数据服务等数据要素产业链核心环节，提出吸引高价值数据资源汇聚融合，打造数据要素创新应用标杆项目，以及创新性的提出发放“数据要素服务券”</w:t>
      </w:r>
      <w:r w:rsidR="00A40232">
        <w:rPr>
          <w:rFonts w:hint="eastAsia"/>
        </w:rPr>
        <w:t>降低服务成本，</w:t>
      </w:r>
      <w:r w:rsidR="004C1660">
        <w:rPr>
          <w:rFonts w:hint="eastAsia"/>
        </w:rPr>
        <w:t>强化数据要素产业普惠服务供给</w:t>
      </w:r>
      <w:r>
        <w:t>。</w:t>
      </w:r>
    </w:p>
    <w:p w14:paraId="030DD0EE" w14:textId="1F0A50EF" w:rsidR="00A40232" w:rsidRDefault="00000000">
      <w:pPr>
        <w:snapToGrid w:val="0"/>
        <w:ind w:firstLine="643"/>
      </w:pPr>
      <w:r>
        <w:rPr>
          <w:b/>
          <w:bCs/>
        </w:rPr>
        <w:lastRenderedPageBreak/>
        <w:t>第四</w:t>
      </w:r>
      <w:r>
        <w:rPr>
          <w:rFonts w:hint="eastAsia"/>
          <w:b/>
          <w:bCs/>
        </w:rPr>
        <w:t>部分</w:t>
      </w:r>
      <w:r>
        <w:rPr>
          <w:b/>
          <w:bCs/>
        </w:rPr>
        <w:t>为</w:t>
      </w:r>
      <w:r w:rsidR="00A40232">
        <w:rPr>
          <w:rFonts w:hint="eastAsia"/>
          <w:b/>
          <w:bCs/>
        </w:rPr>
        <w:t>打造产业生态体系</w:t>
      </w:r>
      <w:r>
        <w:rPr>
          <w:b/>
          <w:bCs/>
        </w:rPr>
        <w:t>，</w:t>
      </w:r>
      <w:r>
        <w:t>主要</w:t>
      </w:r>
      <w:r w:rsidR="00A40232">
        <w:rPr>
          <w:rFonts w:hint="eastAsia"/>
        </w:rPr>
        <w:t>从支持举办</w:t>
      </w:r>
      <w:r w:rsidR="00D34FC7">
        <w:rPr>
          <w:rFonts w:hint="eastAsia"/>
        </w:rPr>
        <w:t>和参加</w:t>
      </w:r>
      <w:r w:rsidR="00A40232">
        <w:rPr>
          <w:rFonts w:hint="eastAsia"/>
        </w:rPr>
        <w:t>数据要素领域</w:t>
      </w:r>
      <w:r w:rsidR="00D34FC7">
        <w:rPr>
          <w:rFonts w:hint="eastAsia"/>
        </w:rPr>
        <w:t>展会、论坛</w:t>
      </w:r>
      <w:r w:rsidR="00A40232">
        <w:rPr>
          <w:rFonts w:hint="eastAsia"/>
        </w:rPr>
        <w:t>等</w:t>
      </w:r>
      <w:r w:rsidR="00D34FC7">
        <w:rPr>
          <w:rFonts w:hint="eastAsia"/>
        </w:rPr>
        <w:t>推广宣传</w:t>
      </w:r>
      <w:r w:rsidR="00A40232">
        <w:rPr>
          <w:rFonts w:hint="eastAsia"/>
        </w:rPr>
        <w:t>活动，培育数据要素产业载体</w:t>
      </w:r>
      <w:r w:rsidR="00D34FC7">
        <w:rPr>
          <w:rFonts w:hint="eastAsia"/>
        </w:rPr>
        <w:t>两</w:t>
      </w:r>
      <w:r w:rsidR="00A40232">
        <w:rPr>
          <w:rFonts w:hint="eastAsia"/>
        </w:rPr>
        <w:t>个方面促进产业生态建设完善。</w:t>
      </w:r>
    </w:p>
    <w:p w14:paraId="73C64D4F" w14:textId="368A7250" w:rsidR="00A40232" w:rsidRDefault="00000000">
      <w:pPr>
        <w:ind w:firstLine="643"/>
      </w:pPr>
      <w:r>
        <w:rPr>
          <w:rFonts w:hint="eastAsia"/>
          <w:b/>
          <w:bCs/>
        </w:rPr>
        <w:t>第五部分为</w:t>
      </w:r>
      <w:r w:rsidR="00A40232">
        <w:rPr>
          <w:rFonts w:hint="eastAsia"/>
          <w:b/>
          <w:bCs/>
        </w:rPr>
        <w:t>其他事项</w:t>
      </w:r>
      <w:r>
        <w:rPr>
          <w:rFonts w:hint="eastAsia"/>
          <w:b/>
          <w:bCs/>
        </w:rPr>
        <w:t>，</w:t>
      </w:r>
      <w:r>
        <w:rPr>
          <w:rFonts w:hint="eastAsia"/>
        </w:rPr>
        <w:t>主要明确了</w:t>
      </w:r>
      <w:r w:rsidR="00A40232">
        <w:rPr>
          <w:rFonts w:hint="eastAsia"/>
        </w:rPr>
        <w:t>引进数据要素龙头企业“一事一议”</w:t>
      </w:r>
      <w:r w:rsidR="00272EA3">
        <w:rPr>
          <w:rFonts w:hint="eastAsia"/>
        </w:rPr>
        <w:t>的相关</w:t>
      </w:r>
      <w:r w:rsidR="00A40232">
        <w:rPr>
          <w:rFonts w:hint="eastAsia"/>
        </w:rPr>
        <w:t>事项</w:t>
      </w:r>
      <w:r w:rsidR="00272EA3">
        <w:rPr>
          <w:rFonts w:hint="eastAsia"/>
        </w:rPr>
        <w:t>，说明“就高不重复”的支持原则</w:t>
      </w:r>
      <w:r w:rsidR="00A40232">
        <w:rPr>
          <w:rFonts w:hint="eastAsia"/>
        </w:rPr>
        <w:t>，提出</w:t>
      </w:r>
      <w:r w:rsidR="007027AE">
        <w:rPr>
          <w:rFonts w:hint="eastAsia"/>
        </w:rPr>
        <w:t>各</w:t>
      </w:r>
      <w:r w:rsidR="007027AE" w:rsidRPr="00877299">
        <w:rPr>
          <w:rFonts w:hint="eastAsia"/>
        </w:rPr>
        <w:t>开发区</w:t>
      </w:r>
      <w:r w:rsidR="007027AE">
        <w:rPr>
          <w:rFonts w:hint="eastAsia"/>
        </w:rPr>
        <w:t>、</w:t>
      </w:r>
      <w:r w:rsidR="007027AE" w:rsidRPr="00877299">
        <w:rPr>
          <w:rFonts w:hint="eastAsia"/>
        </w:rPr>
        <w:t>各</w:t>
      </w:r>
      <w:r w:rsidR="007027AE">
        <w:rPr>
          <w:rFonts w:hint="eastAsia"/>
          <w:szCs w:val="32"/>
        </w:rPr>
        <w:t>区县（市）</w:t>
      </w:r>
      <w:r w:rsidR="00A40232">
        <w:rPr>
          <w:rFonts w:hint="eastAsia"/>
        </w:rPr>
        <w:t>可以结合《若干措施》制定各自的扶持政策，并且规定了实施日期和有效期。</w:t>
      </w:r>
      <w:bookmarkEnd w:id="4"/>
    </w:p>
    <w:sectPr w:rsidR="00A40232" w:rsidSect="002B0814">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4" w:left="1531" w:header="850" w:footer="1304"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FDDC" w14:textId="77777777" w:rsidR="002B0814" w:rsidRDefault="002B0814">
      <w:pPr>
        <w:spacing w:line="240" w:lineRule="auto"/>
        <w:ind w:firstLine="640"/>
      </w:pPr>
      <w:r>
        <w:separator/>
      </w:r>
    </w:p>
  </w:endnote>
  <w:endnote w:type="continuationSeparator" w:id="0">
    <w:p w14:paraId="113F2964" w14:textId="77777777" w:rsidR="002B0814" w:rsidRDefault="002B081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imes New Roman Regular">
    <w:altName w:val="Times New Roman"/>
    <w:charset w:val="00"/>
    <w:family w:val="auto"/>
    <w:pitch w:val="default"/>
    <w:sig w:usb0="E0002AFF" w:usb1="C0007841"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B473" w14:textId="77777777" w:rsidR="00365CBF" w:rsidRDefault="00000000" w:rsidP="00212CDB">
    <w:pPr>
      <w:pStyle w:val="a6"/>
      <w:ind w:firstLineChars="0" w:firstLine="0"/>
    </w:pPr>
    <w:r>
      <w:rPr>
        <w:noProof/>
      </w:rPr>
      <mc:AlternateContent>
        <mc:Choice Requires="wps">
          <w:drawing>
            <wp:inline distT="0" distB="0" distL="0" distR="0" wp14:anchorId="514513AB" wp14:editId="6A76A108">
              <wp:extent cx="851535" cy="228600"/>
              <wp:effectExtent l="0" t="0" r="12065" b="0"/>
              <wp:docPr id="4" name="文本框 4"/>
              <wp:cNvGraphicFramePr/>
              <a:graphic xmlns:a="http://schemas.openxmlformats.org/drawingml/2006/main">
                <a:graphicData uri="http://schemas.microsoft.com/office/word/2010/wordprocessingShape">
                  <wps:wsp>
                    <wps:cNvSpPr txBox="1"/>
                    <wps:spPr>
                      <a:xfrm>
                        <a:off x="0" y="0"/>
                        <a:ext cx="851535"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2E82ED" w14:textId="77777777" w:rsidR="00365CBF" w:rsidRDefault="00000000" w:rsidP="00212CDB">
                          <w:pPr>
                            <w:pStyle w:val="a6"/>
                            <w:spacing w:line="240" w:lineRule="auto"/>
                            <w:ind w:firstLineChars="0" w:firstLine="0"/>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compatLnSpc="1">
                      <a:noAutofit/>
                    </wps:bodyPr>
                  </wps:wsp>
                </a:graphicData>
              </a:graphic>
            </wp:inline>
          </w:drawing>
        </mc:Choice>
        <mc:Fallback>
          <w:pict>
            <v:shapetype w14:anchorId="514513AB" id="_x0000_t202" coordsize="21600,21600" o:spt="202" path="m,l,21600r21600,l21600,xe">
              <v:stroke joinstyle="miter"/>
              <v:path gradientshapeok="t" o:connecttype="rect"/>
            </v:shapetype>
            <v:shape id="文本框 4" o:spid="_x0000_s1026" type="#_x0000_t202" style="width:67.05pt;height: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" filled="f" stroked="f" strokeweight=".5pt">
              <v:textbox inset="0,0,0,0">
                <w:txbxContent>
                  <w:p w14:paraId="192E82ED" w14:textId="77777777" w:rsidR="00365CBF" w:rsidRDefault="00000000" w:rsidP="00212CDB">
                    <w:pPr>
                      <w:pStyle w:val="a6"/>
                      <w:spacing w:line="240" w:lineRule="auto"/>
                      <w:ind w:firstLineChars="0" w:firstLine="0"/>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A3F7" w14:textId="5CCD514F" w:rsidR="00365CBF" w:rsidRDefault="00212CDB">
    <w:pPr>
      <w:pStyle w:val="a6"/>
      <w:ind w:firstLineChars="0" w:firstLine="0"/>
    </w:pPr>
    <w:r>
      <w:rPr>
        <w:rFonts w:ascii="Times New Roman Regular" w:eastAsia="宋体" w:hAnsi="Times New Roman Regular" w:cs="Times New Roman Regular"/>
        <w:sz w:val="24"/>
      </w:rPr>
      <w:ptab w:relativeTo="margin" w:alignment="right" w:leader="none"/>
    </w:r>
    <w:r>
      <w:rPr>
        <w:noProof/>
      </w:rPr>
      <mc:AlternateContent>
        <mc:Choice Requires="wps">
          <w:drawing>
            <wp:inline distT="0" distB="0" distL="0" distR="0" wp14:anchorId="2C7DEB59" wp14:editId="700DCF0E">
              <wp:extent cx="1828800" cy="1828800"/>
              <wp:effectExtent l="0" t="0" r="12065" b="0"/>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47C85F" w14:textId="77777777" w:rsidR="00365CBF" w:rsidRDefault="00000000" w:rsidP="00212CDB">
                          <w:pPr>
                            <w:pStyle w:val="a6"/>
                            <w:spacing w:line="240" w:lineRule="auto"/>
                            <w:ind w:firstLineChars="0" w:firstLine="0"/>
                            <w:rPr>
                              <w:rFonts w:ascii="Times New Roman Regular" w:eastAsia="宋体" w:hAnsi="Times New Roman Regular" w:cs="Times New Roman Regular"/>
                              <w:sz w:val="24"/>
                            </w:rPr>
                          </w:pPr>
                          <w:r>
                            <w:rPr>
                              <w:rFonts w:ascii="Times New Roman Regular" w:eastAsia="宋体" w:hAnsi="Times New Roman Regular" w:cs="Times New Roman Regular"/>
                              <w:sz w:val="24"/>
                            </w:rPr>
                            <w:t xml:space="preserve">— </w:t>
                          </w:r>
                          <w:r>
                            <w:rPr>
                              <w:rFonts w:ascii="Times New Roman Regular" w:eastAsia="宋体" w:hAnsi="Times New Roman Regular" w:cs="Times New Roman Regular"/>
                              <w:sz w:val="24"/>
                            </w:rPr>
                            <w:fldChar w:fldCharType="begin"/>
                          </w:r>
                          <w:r>
                            <w:rPr>
                              <w:rFonts w:ascii="Times New Roman Regular" w:eastAsia="宋体" w:hAnsi="Times New Roman Regular" w:cs="Times New Roman Regular"/>
                              <w:sz w:val="24"/>
                            </w:rPr>
                            <w:instrText xml:space="preserve"> PAGE  \* MERGEFORMAT </w:instrText>
                          </w:r>
                          <w:r>
                            <w:rPr>
                              <w:rFonts w:ascii="Times New Roman Regular" w:eastAsia="宋体" w:hAnsi="Times New Roman Regular" w:cs="Times New Roman Regular"/>
                              <w:sz w:val="24"/>
                            </w:rPr>
                            <w:fldChar w:fldCharType="separate"/>
                          </w:r>
                          <w:r>
                            <w:rPr>
                              <w:rFonts w:ascii="Times New Roman Regular" w:eastAsia="宋体" w:hAnsi="Times New Roman Regular" w:cs="Times New Roman Regular"/>
                              <w:sz w:val="24"/>
                            </w:rPr>
                            <w:t>- 1 -</w:t>
                          </w:r>
                          <w:r>
                            <w:rPr>
                              <w:rFonts w:ascii="Times New Roman Regular" w:eastAsia="宋体" w:hAnsi="Times New Roman Regular" w:cs="Times New Roman Regular"/>
                              <w:sz w:val="24"/>
                            </w:rPr>
                            <w:fldChar w:fldCharType="end"/>
                          </w:r>
                          <w:r>
                            <w:rPr>
                              <w:rFonts w:ascii="Times New Roman Regular" w:eastAsia="宋体" w:hAnsi="Times New Roman Regular" w:cs="Times New Roman Regular"/>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inline>
          </w:drawing>
        </mc:Choice>
        <mc:Fallback>
          <w:pict>
            <v:shapetype w14:anchorId="2C7DEB59" id="_x0000_t202" coordsize="21600,21600" o:spt="202" path="m,l,21600r21600,l21600,xe">
              <v:stroke joinstyle="miter"/>
              <v:path gradientshapeok="t" o:connecttype="rect"/>
            </v:shapetype>
            <v:shape id="文本框 2"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D47C85F" w14:textId="77777777" w:rsidR="00365CBF" w:rsidRDefault="00000000" w:rsidP="00212CDB">
                    <w:pPr>
                      <w:pStyle w:val="a6"/>
                      <w:spacing w:line="240" w:lineRule="auto"/>
                      <w:ind w:firstLineChars="0" w:firstLine="0"/>
                      <w:rPr>
                        <w:rFonts w:ascii="Times New Roman Regular" w:eastAsia="宋体" w:hAnsi="Times New Roman Regular" w:cs="Times New Roman Regular"/>
                        <w:sz w:val="24"/>
                      </w:rPr>
                    </w:pPr>
                    <w:r>
                      <w:rPr>
                        <w:rFonts w:ascii="Times New Roman Regular" w:eastAsia="宋体" w:hAnsi="Times New Roman Regular" w:cs="Times New Roman Regular"/>
                        <w:sz w:val="24"/>
                      </w:rPr>
                      <w:t xml:space="preserve">— </w:t>
                    </w:r>
                    <w:r>
                      <w:rPr>
                        <w:rFonts w:ascii="Times New Roman Regular" w:eastAsia="宋体" w:hAnsi="Times New Roman Regular" w:cs="Times New Roman Regular"/>
                        <w:sz w:val="24"/>
                      </w:rPr>
                      <w:fldChar w:fldCharType="begin"/>
                    </w:r>
                    <w:r>
                      <w:rPr>
                        <w:rFonts w:ascii="Times New Roman Regular" w:eastAsia="宋体" w:hAnsi="Times New Roman Regular" w:cs="Times New Roman Regular"/>
                        <w:sz w:val="24"/>
                      </w:rPr>
                      <w:instrText xml:space="preserve"> PAGE  \* MERGEFORMAT </w:instrText>
                    </w:r>
                    <w:r>
                      <w:rPr>
                        <w:rFonts w:ascii="Times New Roman Regular" w:eastAsia="宋体" w:hAnsi="Times New Roman Regular" w:cs="Times New Roman Regular"/>
                        <w:sz w:val="24"/>
                      </w:rPr>
                      <w:fldChar w:fldCharType="separate"/>
                    </w:r>
                    <w:r>
                      <w:rPr>
                        <w:rFonts w:ascii="Times New Roman Regular" w:eastAsia="宋体" w:hAnsi="Times New Roman Regular" w:cs="Times New Roman Regular"/>
                        <w:sz w:val="24"/>
                      </w:rPr>
                      <w:t>- 1 -</w:t>
                    </w:r>
                    <w:r>
                      <w:rPr>
                        <w:rFonts w:ascii="Times New Roman Regular" w:eastAsia="宋体" w:hAnsi="Times New Roman Regular" w:cs="Times New Roman Regular"/>
                        <w:sz w:val="24"/>
                      </w:rPr>
                      <w:fldChar w:fldCharType="end"/>
                    </w:r>
                    <w:r>
                      <w:rPr>
                        <w:rFonts w:ascii="Times New Roman Regular" w:eastAsia="宋体" w:hAnsi="Times New Roman Regular" w:cs="Times New Roman Regular"/>
                        <w:sz w:val="24"/>
                      </w:rPr>
                      <w:t xml:space="preserve"> —</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2FB1" w14:textId="77777777" w:rsidR="00CF4E4B" w:rsidRDefault="00CF4E4B">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7329" w14:textId="77777777" w:rsidR="002B0814" w:rsidRDefault="002B0814">
      <w:pPr>
        <w:spacing w:line="240" w:lineRule="auto"/>
        <w:ind w:firstLine="640"/>
      </w:pPr>
      <w:r>
        <w:separator/>
      </w:r>
    </w:p>
  </w:footnote>
  <w:footnote w:type="continuationSeparator" w:id="0">
    <w:p w14:paraId="4CD79E6E" w14:textId="77777777" w:rsidR="002B0814" w:rsidRDefault="002B0814">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0163" w14:textId="77777777" w:rsidR="00CF4E4B" w:rsidRDefault="00CF4E4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DCDD" w14:textId="77777777" w:rsidR="00CF4E4B" w:rsidRDefault="00CF4E4B">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5429" w14:textId="77777777" w:rsidR="00CF4E4B" w:rsidRDefault="00CF4E4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hmMzRkMTkwMTYxMzlhNTgyNjQ3OGNlMTc1ZjE3ZjUifQ=="/>
  </w:docVars>
  <w:rsids>
    <w:rsidRoot w:val="00172A27"/>
    <w:rsid w:val="8AFAE0FF"/>
    <w:rsid w:val="8D7C3117"/>
    <w:rsid w:val="9DBFCEA9"/>
    <w:rsid w:val="9DDE9B59"/>
    <w:rsid w:val="9DFECED3"/>
    <w:rsid w:val="9E5D281F"/>
    <w:rsid w:val="9E6434DE"/>
    <w:rsid w:val="9F3FC309"/>
    <w:rsid w:val="9FBFE640"/>
    <w:rsid w:val="9FC3DCF4"/>
    <w:rsid w:val="9FDF7291"/>
    <w:rsid w:val="9FFF7B7E"/>
    <w:rsid w:val="A7F3598E"/>
    <w:rsid w:val="AB7F6CE2"/>
    <w:rsid w:val="ABFF1175"/>
    <w:rsid w:val="ACFD0DBA"/>
    <w:rsid w:val="AE4B0E8A"/>
    <w:rsid w:val="AEF3DCDB"/>
    <w:rsid w:val="AEFFDE52"/>
    <w:rsid w:val="B17B5334"/>
    <w:rsid w:val="B3FBB130"/>
    <w:rsid w:val="B3FFBBD7"/>
    <w:rsid w:val="B6FBEB95"/>
    <w:rsid w:val="B777EA5C"/>
    <w:rsid w:val="B7F25C92"/>
    <w:rsid w:val="B8FE565F"/>
    <w:rsid w:val="B8FFB47F"/>
    <w:rsid w:val="B99AB80E"/>
    <w:rsid w:val="B9DF959C"/>
    <w:rsid w:val="BB78018C"/>
    <w:rsid w:val="BBA6BA56"/>
    <w:rsid w:val="BCD73983"/>
    <w:rsid w:val="BCDD9CCA"/>
    <w:rsid w:val="BDDF8EF6"/>
    <w:rsid w:val="BF6321D3"/>
    <w:rsid w:val="BF6B8FA5"/>
    <w:rsid w:val="BF96F698"/>
    <w:rsid w:val="BFC0DA66"/>
    <w:rsid w:val="BFFC08DD"/>
    <w:rsid w:val="C5FA9B28"/>
    <w:rsid w:val="C7F69787"/>
    <w:rsid w:val="CBF6C751"/>
    <w:rsid w:val="CD9EA1F7"/>
    <w:rsid w:val="CEEFE47B"/>
    <w:rsid w:val="CFB71AD1"/>
    <w:rsid w:val="CFF7A93F"/>
    <w:rsid w:val="D2D73B6D"/>
    <w:rsid w:val="D43D5AD2"/>
    <w:rsid w:val="D77E8C37"/>
    <w:rsid w:val="D7FFCCF4"/>
    <w:rsid w:val="D87F369E"/>
    <w:rsid w:val="D8F6CF34"/>
    <w:rsid w:val="DA4FD236"/>
    <w:rsid w:val="DB725136"/>
    <w:rsid w:val="DBE715F3"/>
    <w:rsid w:val="DD791DD9"/>
    <w:rsid w:val="DD8F3DF9"/>
    <w:rsid w:val="DECD5286"/>
    <w:rsid w:val="DEFD1253"/>
    <w:rsid w:val="DF6B7F99"/>
    <w:rsid w:val="DF6FF834"/>
    <w:rsid w:val="DF7B8161"/>
    <w:rsid w:val="DFFF76BD"/>
    <w:rsid w:val="DFFFD3A9"/>
    <w:rsid w:val="E0F339C4"/>
    <w:rsid w:val="E1D3B59B"/>
    <w:rsid w:val="E6DCBDE3"/>
    <w:rsid w:val="E730A528"/>
    <w:rsid w:val="E7F4D0F3"/>
    <w:rsid w:val="E8FFDF6F"/>
    <w:rsid w:val="EA6F34AA"/>
    <w:rsid w:val="EBF4F626"/>
    <w:rsid w:val="EBFBC911"/>
    <w:rsid w:val="EDF5F006"/>
    <w:rsid w:val="EFA8815E"/>
    <w:rsid w:val="EFAF0C98"/>
    <w:rsid w:val="EFB7C4A2"/>
    <w:rsid w:val="EFFD75BD"/>
    <w:rsid w:val="F0F5DBBC"/>
    <w:rsid w:val="F0FFB4F0"/>
    <w:rsid w:val="F1E3CCD0"/>
    <w:rsid w:val="F1FF2877"/>
    <w:rsid w:val="F2FB6A82"/>
    <w:rsid w:val="F2FD70AB"/>
    <w:rsid w:val="F35C724A"/>
    <w:rsid w:val="F3FED555"/>
    <w:rsid w:val="F4AACADD"/>
    <w:rsid w:val="F4FFA63A"/>
    <w:rsid w:val="F5FDBA4F"/>
    <w:rsid w:val="F5FF6C97"/>
    <w:rsid w:val="F5FF71FE"/>
    <w:rsid w:val="F6DD7192"/>
    <w:rsid w:val="F6ED0B0C"/>
    <w:rsid w:val="F6FF798D"/>
    <w:rsid w:val="F6FFB5D0"/>
    <w:rsid w:val="F7BE1A55"/>
    <w:rsid w:val="F7DBAF2E"/>
    <w:rsid w:val="F7EFC771"/>
    <w:rsid w:val="F7FF1F4A"/>
    <w:rsid w:val="F7FF2C13"/>
    <w:rsid w:val="F7FFFD97"/>
    <w:rsid w:val="F8FD59C6"/>
    <w:rsid w:val="F97F55B8"/>
    <w:rsid w:val="FA372ECE"/>
    <w:rsid w:val="FACBB742"/>
    <w:rsid w:val="FB6DA28F"/>
    <w:rsid w:val="FB752A55"/>
    <w:rsid w:val="FBBF2798"/>
    <w:rsid w:val="FBCAC61F"/>
    <w:rsid w:val="FBDE16C2"/>
    <w:rsid w:val="FBFE0C94"/>
    <w:rsid w:val="FBFFAAEE"/>
    <w:rsid w:val="FBFFC789"/>
    <w:rsid w:val="FBFFE5E4"/>
    <w:rsid w:val="FCFD64D3"/>
    <w:rsid w:val="FD3BE252"/>
    <w:rsid w:val="FD4F81AA"/>
    <w:rsid w:val="FD7F6C0D"/>
    <w:rsid w:val="FDBBE3F4"/>
    <w:rsid w:val="FDBFB6E7"/>
    <w:rsid w:val="FE7D06D5"/>
    <w:rsid w:val="FE9BC417"/>
    <w:rsid w:val="FEBE865D"/>
    <w:rsid w:val="FF35E468"/>
    <w:rsid w:val="FF4BAF53"/>
    <w:rsid w:val="FF575619"/>
    <w:rsid w:val="FF5F9A6D"/>
    <w:rsid w:val="FF6AC21F"/>
    <w:rsid w:val="FF76660B"/>
    <w:rsid w:val="FF7AEA16"/>
    <w:rsid w:val="FF7B6AD9"/>
    <w:rsid w:val="FF8D3C99"/>
    <w:rsid w:val="FF977726"/>
    <w:rsid w:val="FF9F65C1"/>
    <w:rsid w:val="FFBFB5EA"/>
    <w:rsid w:val="FFCF1D72"/>
    <w:rsid w:val="FFD57924"/>
    <w:rsid w:val="FFD728BA"/>
    <w:rsid w:val="FFDEC030"/>
    <w:rsid w:val="FFDEC42A"/>
    <w:rsid w:val="FFEFACD8"/>
    <w:rsid w:val="FFF31FE5"/>
    <w:rsid w:val="FFF65276"/>
    <w:rsid w:val="FFF703B4"/>
    <w:rsid w:val="FFFB1A13"/>
    <w:rsid w:val="FFFB20DA"/>
    <w:rsid w:val="FFFB299B"/>
    <w:rsid w:val="FFFB8F42"/>
    <w:rsid w:val="FFFCB28A"/>
    <w:rsid w:val="FFFFA3F2"/>
    <w:rsid w:val="00001516"/>
    <w:rsid w:val="000254A7"/>
    <w:rsid w:val="00046B52"/>
    <w:rsid w:val="000603CF"/>
    <w:rsid w:val="0006045B"/>
    <w:rsid w:val="0015548A"/>
    <w:rsid w:val="00172A27"/>
    <w:rsid w:val="001D70B8"/>
    <w:rsid w:val="001F4CAA"/>
    <w:rsid w:val="00206254"/>
    <w:rsid w:val="00207C88"/>
    <w:rsid w:val="00212CDB"/>
    <w:rsid w:val="00237686"/>
    <w:rsid w:val="00272EA3"/>
    <w:rsid w:val="002B0814"/>
    <w:rsid w:val="002D6EAC"/>
    <w:rsid w:val="00304DF4"/>
    <w:rsid w:val="0035476D"/>
    <w:rsid w:val="0036532A"/>
    <w:rsid w:val="00365CBF"/>
    <w:rsid w:val="003E2FA0"/>
    <w:rsid w:val="004041DA"/>
    <w:rsid w:val="004762FD"/>
    <w:rsid w:val="00491E1D"/>
    <w:rsid w:val="004946ED"/>
    <w:rsid w:val="004C0A40"/>
    <w:rsid w:val="004C1660"/>
    <w:rsid w:val="005E0584"/>
    <w:rsid w:val="005E4B64"/>
    <w:rsid w:val="006E493E"/>
    <w:rsid w:val="006F6E13"/>
    <w:rsid w:val="007027AE"/>
    <w:rsid w:val="007307B8"/>
    <w:rsid w:val="00791A10"/>
    <w:rsid w:val="00805BD6"/>
    <w:rsid w:val="0082042A"/>
    <w:rsid w:val="008B2ED6"/>
    <w:rsid w:val="009863A1"/>
    <w:rsid w:val="009C197A"/>
    <w:rsid w:val="009E06AE"/>
    <w:rsid w:val="009E1CA9"/>
    <w:rsid w:val="00A40232"/>
    <w:rsid w:val="00A44EF0"/>
    <w:rsid w:val="00B66967"/>
    <w:rsid w:val="00BB3377"/>
    <w:rsid w:val="00BC4988"/>
    <w:rsid w:val="00BE4E8F"/>
    <w:rsid w:val="00CB4ED9"/>
    <w:rsid w:val="00CD2879"/>
    <w:rsid w:val="00CD4BD2"/>
    <w:rsid w:val="00CF4E4B"/>
    <w:rsid w:val="00D042CA"/>
    <w:rsid w:val="00D34FC7"/>
    <w:rsid w:val="00DC7EBA"/>
    <w:rsid w:val="00E70FF9"/>
    <w:rsid w:val="00E80BE8"/>
    <w:rsid w:val="00EA5CD4"/>
    <w:rsid w:val="00EB1A6A"/>
    <w:rsid w:val="00F13E02"/>
    <w:rsid w:val="00F459B3"/>
    <w:rsid w:val="00F60583"/>
    <w:rsid w:val="00FB63F6"/>
    <w:rsid w:val="07F527EC"/>
    <w:rsid w:val="07FE200E"/>
    <w:rsid w:val="0E075235"/>
    <w:rsid w:val="1ACF3410"/>
    <w:rsid w:val="1D9D6540"/>
    <w:rsid w:val="1E7E3E23"/>
    <w:rsid w:val="1E9C16D9"/>
    <w:rsid w:val="1FEFA6CF"/>
    <w:rsid w:val="1FFDA110"/>
    <w:rsid w:val="1FFF26EF"/>
    <w:rsid w:val="1FFFB1D1"/>
    <w:rsid w:val="22868AC7"/>
    <w:rsid w:val="257BB3FF"/>
    <w:rsid w:val="27E8AC4D"/>
    <w:rsid w:val="27EFF775"/>
    <w:rsid w:val="27FD1231"/>
    <w:rsid w:val="2DDD4D79"/>
    <w:rsid w:val="2DFD6B28"/>
    <w:rsid w:val="2EE98BDE"/>
    <w:rsid w:val="2EF5EC12"/>
    <w:rsid w:val="2FAB4BFC"/>
    <w:rsid w:val="2FF12BE7"/>
    <w:rsid w:val="35F9C5D3"/>
    <w:rsid w:val="369728B1"/>
    <w:rsid w:val="36FFADC0"/>
    <w:rsid w:val="377AEEB1"/>
    <w:rsid w:val="37ED975D"/>
    <w:rsid w:val="37F956ED"/>
    <w:rsid w:val="37FED75F"/>
    <w:rsid w:val="39EF7AB9"/>
    <w:rsid w:val="3A1FB11B"/>
    <w:rsid w:val="3AAF2DBE"/>
    <w:rsid w:val="3BF70E47"/>
    <w:rsid w:val="3BFDCFCE"/>
    <w:rsid w:val="3C7A4CD3"/>
    <w:rsid w:val="3CF52919"/>
    <w:rsid w:val="3D5F04E4"/>
    <w:rsid w:val="3DA34F8A"/>
    <w:rsid w:val="3DFB5661"/>
    <w:rsid w:val="3F570065"/>
    <w:rsid w:val="3FA72FB8"/>
    <w:rsid w:val="3FB5FB05"/>
    <w:rsid w:val="3FEE6CB1"/>
    <w:rsid w:val="3FF725AF"/>
    <w:rsid w:val="3FFB0EBF"/>
    <w:rsid w:val="3FFE96D0"/>
    <w:rsid w:val="3FFFF170"/>
    <w:rsid w:val="47CE9DAD"/>
    <w:rsid w:val="4C6A3176"/>
    <w:rsid w:val="4DBFB3E4"/>
    <w:rsid w:val="4DEF8842"/>
    <w:rsid w:val="4F7EE450"/>
    <w:rsid w:val="4FBA8918"/>
    <w:rsid w:val="4FBF6570"/>
    <w:rsid w:val="4FFC3C9F"/>
    <w:rsid w:val="554F7A8E"/>
    <w:rsid w:val="557CD931"/>
    <w:rsid w:val="55DF9079"/>
    <w:rsid w:val="577F3323"/>
    <w:rsid w:val="57BF2396"/>
    <w:rsid w:val="57ED3239"/>
    <w:rsid w:val="57FC556D"/>
    <w:rsid w:val="59951F4A"/>
    <w:rsid w:val="59FF3ECA"/>
    <w:rsid w:val="5A5B257C"/>
    <w:rsid w:val="5BDB239E"/>
    <w:rsid w:val="5BFD2CE0"/>
    <w:rsid w:val="5D7E0C36"/>
    <w:rsid w:val="5DB63283"/>
    <w:rsid w:val="5DE952E4"/>
    <w:rsid w:val="5E1F0C03"/>
    <w:rsid w:val="5E3EACFE"/>
    <w:rsid w:val="5E8BF4F4"/>
    <w:rsid w:val="5EDB5222"/>
    <w:rsid w:val="5EEA58A4"/>
    <w:rsid w:val="5EEE63DC"/>
    <w:rsid w:val="5EEF8C9D"/>
    <w:rsid w:val="5EFD4BB5"/>
    <w:rsid w:val="5F86FE19"/>
    <w:rsid w:val="5FA7298F"/>
    <w:rsid w:val="5FB71562"/>
    <w:rsid w:val="5FEBB0C9"/>
    <w:rsid w:val="5FECF8DC"/>
    <w:rsid w:val="5FEF6F3C"/>
    <w:rsid w:val="5FFF5DEB"/>
    <w:rsid w:val="5FFFBD17"/>
    <w:rsid w:val="630AF305"/>
    <w:rsid w:val="65FFB428"/>
    <w:rsid w:val="66BFFF0F"/>
    <w:rsid w:val="66FE19EE"/>
    <w:rsid w:val="67F365A8"/>
    <w:rsid w:val="67FF4DAA"/>
    <w:rsid w:val="685E5D38"/>
    <w:rsid w:val="6BAF49C7"/>
    <w:rsid w:val="6BCFC2B3"/>
    <w:rsid w:val="6BDBF56C"/>
    <w:rsid w:val="6BF7A7DE"/>
    <w:rsid w:val="6BFFC64D"/>
    <w:rsid w:val="6D6DC2B8"/>
    <w:rsid w:val="6DF68E5F"/>
    <w:rsid w:val="6E3A14B8"/>
    <w:rsid w:val="6E9F6E62"/>
    <w:rsid w:val="6EFBF4D7"/>
    <w:rsid w:val="6FAF9474"/>
    <w:rsid w:val="6FB66C03"/>
    <w:rsid w:val="6FF67017"/>
    <w:rsid w:val="6FFBA564"/>
    <w:rsid w:val="6FFE1FE7"/>
    <w:rsid w:val="70FD8254"/>
    <w:rsid w:val="72FB2ED1"/>
    <w:rsid w:val="73E1EA15"/>
    <w:rsid w:val="73E46C3E"/>
    <w:rsid w:val="75E5D3A2"/>
    <w:rsid w:val="75FFE71A"/>
    <w:rsid w:val="767B5B5C"/>
    <w:rsid w:val="76DE7F73"/>
    <w:rsid w:val="76F5E874"/>
    <w:rsid w:val="777F147E"/>
    <w:rsid w:val="777F952E"/>
    <w:rsid w:val="77BC8AEC"/>
    <w:rsid w:val="77BF0BFF"/>
    <w:rsid w:val="77CAA6ED"/>
    <w:rsid w:val="78FF216F"/>
    <w:rsid w:val="78FF64F5"/>
    <w:rsid w:val="7934466A"/>
    <w:rsid w:val="79BF72DF"/>
    <w:rsid w:val="79FBE960"/>
    <w:rsid w:val="79FF2332"/>
    <w:rsid w:val="7BB77298"/>
    <w:rsid w:val="7BBE4897"/>
    <w:rsid w:val="7BEAC947"/>
    <w:rsid w:val="7BEF3EC2"/>
    <w:rsid w:val="7BF62FA3"/>
    <w:rsid w:val="7BFF3A98"/>
    <w:rsid w:val="7CBF741A"/>
    <w:rsid w:val="7D3E0D4F"/>
    <w:rsid w:val="7D3E0EE1"/>
    <w:rsid w:val="7D951DEA"/>
    <w:rsid w:val="7D9E63D3"/>
    <w:rsid w:val="7DB33C32"/>
    <w:rsid w:val="7DDF8480"/>
    <w:rsid w:val="7DEF86C2"/>
    <w:rsid w:val="7DFD348C"/>
    <w:rsid w:val="7E6E75CF"/>
    <w:rsid w:val="7E6F925E"/>
    <w:rsid w:val="7E7B5C8C"/>
    <w:rsid w:val="7EAF27EE"/>
    <w:rsid w:val="7ED87866"/>
    <w:rsid w:val="7EEDEECF"/>
    <w:rsid w:val="7EF5444E"/>
    <w:rsid w:val="7EF5A723"/>
    <w:rsid w:val="7EFE6A09"/>
    <w:rsid w:val="7EFF0A25"/>
    <w:rsid w:val="7F4ED111"/>
    <w:rsid w:val="7F772AFA"/>
    <w:rsid w:val="7F7D06B7"/>
    <w:rsid w:val="7F7F0CD5"/>
    <w:rsid w:val="7F87FBCA"/>
    <w:rsid w:val="7FAE9F99"/>
    <w:rsid w:val="7FAF3802"/>
    <w:rsid w:val="7FBD23EE"/>
    <w:rsid w:val="7FBF7CEA"/>
    <w:rsid w:val="7FDFD851"/>
    <w:rsid w:val="7FE86F52"/>
    <w:rsid w:val="7FEC29BD"/>
    <w:rsid w:val="7FF257CE"/>
    <w:rsid w:val="7FFEC201"/>
    <w:rsid w:val="7FFF9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A3002"/>
  <w15:docId w15:val="{2B2B19A4-C173-4231-B994-C5C8CF55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B4ED9"/>
    <w:pPr>
      <w:widowControl w:val="0"/>
      <w:spacing w:line="560" w:lineRule="exact"/>
      <w:ind w:firstLineChars="200" w:firstLine="880"/>
      <w:jc w:val="both"/>
    </w:pPr>
    <w:rPr>
      <w:rFonts w:eastAsia="仿宋_GB2312" w:cs="黑体"/>
      <w:kern w:val="2"/>
      <w:sz w:val="32"/>
      <w:szCs w:val="24"/>
    </w:rPr>
  </w:style>
  <w:style w:type="paragraph" w:styleId="1">
    <w:name w:val="heading 1"/>
    <w:basedOn w:val="a"/>
    <w:next w:val="a"/>
    <w:uiPriority w:val="9"/>
    <w:qFormat/>
    <w:pPr>
      <w:keepNext/>
      <w:keepLines/>
      <w:outlineLvl w:val="0"/>
    </w:pPr>
    <w:rPr>
      <w:rFonts w:eastAsia="黑体" w:cs="Times New Roman"/>
      <w:bCs/>
      <w:kern w:val="44"/>
      <w:szCs w:val="44"/>
    </w:rPr>
  </w:style>
  <w:style w:type="paragraph" w:styleId="2">
    <w:name w:val="heading 2"/>
    <w:basedOn w:val="a"/>
    <w:next w:val="a"/>
    <w:unhideWhenUsed/>
    <w:qFormat/>
    <w:pPr>
      <w:keepNext/>
      <w:keepLines/>
      <w:widowControl/>
      <w:adjustRightInd w:val="0"/>
      <w:outlineLvl w:val="1"/>
    </w:pPr>
    <w:rPr>
      <w:rFonts w:ascii="Cambria" w:eastAsia="楷体" w:hAnsi="Cambria" w:cs="Times New Roman"/>
      <w:bCs/>
      <w:spacing w:val="4"/>
      <w:kern w:val="0"/>
      <w:szCs w:val="32"/>
      <w:lang w:val="zh-CN"/>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style>
  <w:style w:type="paragraph" w:styleId="a4">
    <w:name w:val="annotation text"/>
    <w:basedOn w:val="a"/>
    <w:link w:val="a5"/>
    <w:uiPriority w:val="99"/>
    <w:semiHidden/>
    <w:unhideWhenUsed/>
    <w:qFormat/>
    <w:pPr>
      <w:jc w:val="left"/>
    </w:pPr>
  </w:style>
  <w:style w:type="paragraph" w:styleId="a6">
    <w:name w:val="footer"/>
    <w:basedOn w:val="a"/>
    <w:unhideWhenUsed/>
    <w:qFormat/>
    <w:pPr>
      <w:tabs>
        <w:tab w:val="center" w:pos="4153"/>
        <w:tab w:val="right" w:pos="8306"/>
      </w:tabs>
      <w:snapToGrid w:val="0"/>
      <w:jc w:val="left"/>
    </w:pPr>
    <w:rPr>
      <w:sz w:val="18"/>
    </w:rPr>
  </w:style>
  <w:style w:type="paragraph" w:styleId="a7">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4"/>
    <w:next w:val="a4"/>
    <w:link w:val="a9"/>
    <w:uiPriority w:val="99"/>
    <w:semiHidden/>
    <w:unhideWhenUsed/>
    <w:qFormat/>
    <w:rPr>
      <w:b/>
      <w:bCs/>
    </w:rPr>
  </w:style>
  <w:style w:type="paragraph" w:styleId="aa">
    <w:name w:val="Body Text First Indent"/>
    <w:basedOn w:val="a0"/>
    <w:uiPriority w:val="99"/>
    <w:unhideWhenUsed/>
    <w:qFormat/>
    <w:pPr>
      <w:ind w:firstLineChars="100" w:firstLine="420"/>
    </w:pPr>
  </w:style>
  <w:style w:type="character" w:styleId="ab">
    <w:name w:val="Emphasis"/>
    <w:basedOn w:val="a1"/>
    <w:uiPriority w:val="20"/>
    <w:qFormat/>
    <w:rPr>
      <w:i/>
    </w:rPr>
  </w:style>
  <w:style w:type="character" w:styleId="ac">
    <w:name w:val="Hyperlink"/>
    <w:basedOn w:val="a1"/>
    <w:uiPriority w:val="99"/>
    <w:semiHidden/>
    <w:unhideWhenUsed/>
    <w:qFormat/>
    <w:rPr>
      <w:color w:val="0000FF"/>
      <w:u w:val="single"/>
    </w:rPr>
  </w:style>
  <w:style w:type="character" w:styleId="ad">
    <w:name w:val="annotation reference"/>
    <w:basedOn w:val="a1"/>
    <w:uiPriority w:val="99"/>
    <w:semiHidden/>
    <w:unhideWhenUsed/>
    <w:qFormat/>
    <w:rPr>
      <w:sz w:val="21"/>
      <w:szCs w:val="21"/>
    </w:rPr>
  </w:style>
  <w:style w:type="character" w:customStyle="1" w:styleId="H">
    <w:name w:val="段H"/>
    <w:basedOn w:val="a1"/>
    <w:qFormat/>
    <w:rPr>
      <w:rFonts w:ascii="Times New Roman" w:eastAsia="黑体" w:hAnsi="Times New Roman"/>
      <w:spacing w:val="6"/>
      <w:w w:val="100"/>
      <w:kern w:val="0"/>
      <w:position w:val="0"/>
    </w:rPr>
  </w:style>
  <w:style w:type="character" w:customStyle="1" w:styleId="a5">
    <w:name w:val="批注文字 字符"/>
    <w:basedOn w:val="a1"/>
    <w:link w:val="a4"/>
    <w:uiPriority w:val="99"/>
    <w:semiHidden/>
    <w:qFormat/>
    <w:rPr>
      <w:rFonts w:ascii="Calibri" w:hAnsi="Calibri" w:cs="黑体"/>
      <w:kern w:val="2"/>
      <w:sz w:val="21"/>
      <w:szCs w:val="24"/>
    </w:rPr>
  </w:style>
  <w:style w:type="character" w:customStyle="1" w:styleId="a9">
    <w:name w:val="批注主题 字符"/>
    <w:basedOn w:val="a5"/>
    <w:link w:val="a8"/>
    <w:uiPriority w:val="99"/>
    <w:semiHidden/>
    <w:qFormat/>
    <w:rPr>
      <w:rFonts w:ascii="Calibri" w:hAnsi="Calibri" w:cs="黑体"/>
      <w:b/>
      <w:bCs/>
      <w:kern w:val="2"/>
      <w:sz w:val="21"/>
      <w:szCs w:val="24"/>
    </w:rPr>
  </w:style>
  <w:style w:type="paragraph" w:customStyle="1" w:styleId="10">
    <w:name w:val="修订1"/>
    <w:hidden/>
    <w:uiPriority w:val="99"/>
    <w:unhideWhenUsed/>
    <w:qFormat/>
    <w:rPr>
      <w:rFonts w:eastAsia="仿宋_GB2312" w:cs="黑体"/>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29590">
      <w:bodyDiv w:val="1"/>
      <w:marLeft w:val="0"/>
      <w:marRight w:val="0"/>
      <w:marTop w:val="0"/>
      <w:marBottom w:val="0"/>
      <w:divBdr>
        <w:top w:val="none" w:sz="0" w:space="0" w:color="auto"/>
        <w:left w:val="none" w:sz="0" w:space="0" w:color="auto"/>
        <w:bottom w:val="none" w:sz="0" w:space="0" w:color="auto"/>
        <w:right w:val="none" w:sz="0" w:space="0" w:color="auto"/>
      </w:divBdr>
    </w:div>
    <w:div w:id="1997683520">
      <w:bodyDiv w:val="1"/>
      <w:marLeft w:val="0"/>
      <w:marRight w:val="0"/>
      <w:marTop w:val="0"/>
      <w:marBottom w:val="0"/>
      <w:divBdr>
        <w:top w:val="none" w:sz="0" w:space="0" w:color="auto"/>
        <w:left w:val="none" w:sz="0" w:space="0" w:color="auto"/>
        <w:bottom w:val="none" w:sz="0" w:space="0" w:color="auto"/>
        <w:right w:val="none" w:sz="0" w:space="0" w:color="auto"/>
      </w:divBdr>
      <w:divsChild>
        <w:div w:id="1031416017">
          <w:marLeft w:val="446"/>
          <w:marRight w:val="0"/>
          <w:marTop w:val="12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《郑州市政务数据安全管理暂行办法》</dc:title>
  <dc:creator>123</dc:creator>
  <cp:lastModifiedBy>cestc0002</cp:lastModifiedBy>
  <cp:revision>33</cp:revision>
  <cp:lastPrinted>2020-09-09T01:16:00Z</cp:lastPrinted>
  <dcterms:created xsi:type="dcterms:W3CDTF">2023-02-27T00:57:00Z</dcterms:created>
  <dcterms:modified xsi:type="dcterms:W3CDTF">2024-01-24T07:03:00Z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82D076FBF6594ADD357DFE64B14DBB65_43</vt:lpwstr>
  </property>
</Properties>
</file>