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ind w:firstLine="0" w:firstLineChars="0"/>
        <w:jc w:val="center"/>
        <w:outlineLvl w:val="0"/>
        <w:rPr>
          <w:rFonts w:hint="eastAsia" w:ascii="方正小标宋简体" w:eastAsia="方正小标宋简体" w:cs="宋体"/>
          <w:bCs/>
          <w:color w:val="auto"/>
          <w:kern w:val="36"/>
          <w:sz w:val="44"/>
          <w:szCs w:val="48"/>
          <w:highlight w:val="none"/>
        </w:rPr>
      </w:pPr>
      <w:bookmarkStart w:id="0" w:name="_Toc620226428"/>
      <w:r>
        <w:rPr>
          <w:rFonts w:ascii="方正小标宋简体" w:eastAsia="方正小标宋简体" w:cs="宋体"/>
          <w:bCs/>
          <w:color w:val="auto"/>
          <w:kern w:val="36"/>
          <w:sz w:val="44"/>
          <w:szCs w:val="48"/>
          <w:highlight w:val="none"/>
        </w:rPr>
        <w:t>郑州市</w:t>
      </w:r>
      <w:r>
        <w:rPr>
          <w:rFonts w:hint="eastAsia" w:ascii="方正小标宋简体" w:eastAsia="方正小标宋简体" w:cs="宋体"/>
          <w:bCs/>
          <w:color w:val="auto"/>
          <w:kern w:val="36"/>
          <w:sz w:val="44"/>
          <w:szCs w:val="48"/>
          <w:highlight w:val="none"/>
        </w:rPr>
        <w:t>数据</w:t>
      </w:r>
      <w:r>
        <w:rPr>
          <w:rFonts w:hint="eastAsia" w:ascii="方正小标宋简体" w:eastAsia="方正小标宋简体" w:cs="宋体"/>
          <w:bCs/>
          <w:color w:val="auto"/>
          <w:kern w:val="36"/>
          <w:sz w:val="44"/>
          <w:szCs w:val="48"/>
          <w:highlight w:val="none"/>
          <w:lang w:eastAsia="zh-Hans"/>
        </w:rPr>
        <w:t>流通</w:t>
      </w:r>
      <w:r>
        <w:rPr>
          <w:rFonts w:hint="eastAsia" w:ascii="方正小标宋简体" w:eastAsia="方正小标宋简体" w:cs="宋体"/>
          <w:bCs/>
          <w:color w:val="auto"/>
          <w:kern w:val="36"/>
          <w:sz w:val="44"/>
          <w:szCs w:val="48"/>
          <w:highlight w:val="none"/>
        </w:rPr>
        <w:t>交易管理暂行办法</w:t>
      </w:r>
      <w:bookmarkEnd w:id="0"/>
    </w:p>
    <w:p>
      <w:pPr>
        <w:ind w:firstLine="0" w:firstLineChars="0"/>
        <w:jc w:val="center"/>
        <w:rPr>
          <w:rFonts w:hint="eastAsia" w:ascii="楷体_GB2312" w:hAnsi="楷体_GB2312" w:eastAsia="楷体_GB2312" w:cs="楷体_GB2312"/>
          <w:lang w:eastAsia="zh-CN"/>
        </w:rPr>
      </w:pPr>
      <w:r>
        <w:rPr>
          <w:rFonts w:hint="eastAsia" w:ascii="楷体_GB2312" w:hAnsi="楷体_GB2312" w:eastAsia="楷体_GB2312" w:cs="楷体_GB2312"/>
          <w:lang w:eastAsia="zh-CN"/>
        </w:rPr>
        <w:t>（</w:t>
      </w:r>
      <w:r>
        <w:rPr>
          <w:rFonts w:hint="eastAsia" w:ascii="楷体_GB2312" w:hAnsi="楷体_GB2312" w:eastAsia="楷体_GB2312" w:cs="楷体_GB2312"/>
          <w:lang w:val="en-US" w:eastAsia="zh-CN"/>
        </w:rPr>
        <w:t>征求意见稿</w:t>
      </w:r>
      <w:r>
        <w:rPr>
          <w:rFonts w:hint="eastAsia" w:ascii="楷体_GB2312" w:hAnsi="楷体_GB2312" w:eastAsia="楷体_GB2312" w:cs="楷体_GB2312"/>
          <w:lang w:eastAsia="zh-CN"/>
        </w:rPr>
        <w:t>）</w:t>
      </w:r>
    </w:p>
    <w:p>
      <w:pPr>
        <w:ind w:firstLine="632"/>
        <w:rPr>
          <w:color w:val="auto"/>
          <w:highlight w:val="none"/>
        </w:rPr>
      </w:pPr>
    </w:p>
    <w:p>
      <w:pPr>
        <w:widowControl/>
        <w:ind w:firstLine="0" w:firstLineChars="0"/>
        <w:jc w:val="center"/>
        <w:outlineLvl w:val="0"/>
        <w:rPr>
          <w:rFonts w:ascii="宋体" w:hAnsi="宋体" w:eastAsia="黑体" w:cs="宋体"/>
          <w:bCs/>
          <w:color w:val="auto"/>
          <w:kern w:val="36"/>
          <w:szCs w:val="48"/>
          <w:highlight w:val="none"/>
        </w:rPr>
      </w:pPr>
      <w:bookmarkStart w:id="1" w:name="_Toc1045946408"/>
      <w:r>
        <w:rPr>
          <w:rFonts w:hint="eastAsia" w:ascii="宋体" w:hAnsi="宋体" w:eastAsia="黑体" w:cs="宋体"/>
          <w:bCs/>
          <w:color w:val="auto"/>
          <w:kern w:val="36"/>
          <w:szCs w:val="48"/>
          <w:highlight w:val="none"/>
        </w:rPr>
        <w:t>第一章</w:t>
      </w:r>
      <w:r>
        <w:rPr>
          <w:rFonts w:ascii="宋体" w:hAnsi="宋体" w:eastAsia="黑体" w:cs="宋体"/>
          <w:bCs/>
          <w:color w:val="auto"/>
          <w:kern w:val="36"/>
          <w:szCs w:val="48"/>
          <w:highlight w:val="none"/>
        </w:rPr>
        <w:t xml:space="preserve"> </w:t>
      </w:r>
      <w:r>
        <w:rPr>
          <w:rFonts w:hint="eastAsia" w:ascii="宋体" w:hAnsi="宋体" w:eastAsia="黑体" w:cs="宋体"/>
          <w:bCs/>
          <w:color w:val="auto"/>
          <w:kern w:val="36"/>
          <w:szCs w:val="48"/>
          <w:highlight w:val="none"/>
        </w:rPr>
        <w:t xml:space="preserve">总 </w:t>
      </w:r>
      <w:r>
        <w:rPr>
          <w:rFonts w:ascii="宋体" w:hAnsi="宋体" w:eastAsia="黑体" w:cs="宋体"/>
          <w:bCs/>
          <w:color w:val="auto"/>
          <w:kern w:val="36"/>
          <w:szCs w:val="48"/>
          <w:highlight w:val="none"/>
        </w:rPr>
        <w:t xml:space="preserve"> </w:t>
      </w:r>
      <w:r>
        <w:rPr>
          <w:rFonts w:hint="eastAsia" w:ascii="宋体" w:hAnsi="宋体" w:eastAsia="黑体" w:cs="宋体"/>
          <w:bCs/>
          <w:color w:val="auto"/>
          <w:kern w:val="36"/>
          <w:szCs w:val="48"/>
          <w:highlight w:val="none"/>
        </w:rPr>
        <w:t>则</w:t>
      </w:r>
      <w:bookmarkEnd w:id="1"/>
    </w:p>
    <w:p>
      <w:pPr>
        <w:ind w:firstLine="632"/>
        <w:rPr>
          <w:color w:val="auto"/>
          <w:highlight w:val="none"/>
        </w:rPr>
      </w:pPr>
    </w:p>
    <w:p>
      <w:pPr>
        <w:tabs>
          <w:tab w:val="left" w:pos="0"/>
        </w:tabs>
        <w:ind w:firstLine="632" w:firstLineChars="0"/>
        <w:rPr>
          <w:b/>
          <w:bCs/>
          <w:color w:val="auto"/>
          <w:highlight w:val="none"/>
        </w:rPr>
      </w:pPr>
      <w:r>
        <w:rPr>
          <w:rFonts w:hint="eastAsia" w:ascii="黑体" w:hAnsi="黑体" w:eastAsia="黑体" w:cs="黑体"/>
          <w:color w:val="auto"/>
          <w:highlight w:val="none"/>
          <w:lang w:eastAsia="zh-Hans"/>
        </w:rPr>
        <w:t>第一条（目的依据）</w:t>
      </w:r>
      <w:r>
        <w:rPr>
          <w:rFonts w:hint="eastAsia"/>
          <w:color w:val="auto"/>
          <w:highlight w:val="none"/>
        </w:rPr>
        <w:t>为规范</w:t>
      </w:r>
      <w:r>
        <w:rPr>
          <w:rFonts w:hint="eastAsia"/>
          <w:color w:val="auto"/>
          <w:highlight w:val="none"/>
          <w:lang w:val="en-US" w:eastAsia="zh-CN"/>
        </w:rPr>
        <w:t>本市</w:t>
      </w:r>
      <w:r>
        <w:rPr>
          <w:rFonts w:hint="eastAsia"/>
          <w:color w:val="auto"/>
          <w:highlight w:val="none"/>
        </w:rPr>
        <w:t>数据流通交易活动，促进数据有序</w:t>
      </w:r>
      <w:r>
        <w:rPr>
          <w:rFonts w:hint="eastAsia"/>
          <w:color w:val="auto"/>
          <w:highlight w:val="none"/>
          <w:lang w:eastAsia="zh-Hans"/>
        </w:rPr>
        <w:t>高效</w:t>
      </w:r>
      <w:r>
        <w:rPr>
          <w:rFonts w:hint="eastAsia"/>
          <w:color w:val="auto"/>
          <w:highlight w:val="none"/>
        </w:rPr>
        <w:t>流通，激活数据要素潜能，培育数据</w:t>
      </w:r>
      <w:r>
        <w:rPr>
          <w:rFonts w:hint="eastAsia"/>
          <w:color w:val="auto"/>
          <w:highlight w:val="none"/>
          <w:lang w:eastAsia="zh-Hans"/>
        </w:rPr>
        <w:t>交易</w:t>
      </w:r>
      <w:r>
        <w:rPr>
          <w:rFonts w:hint="eastAsia"/>
          <w:color w:val="auto"/>
          <w:highlight w:val="none"/>
        </w:rPr>
        <w:t>市场，</w:t>
      </w:r>
      <w:bookmarkStart w:id="2" w:name="_Hlk138076226"/>
      <w:r>
        <w:rPr>
          <w:rFonts w:hint="eastAsia"/>
          <w:color w:val="auto"/>
          <w:highlight w:val="none"/>
        </w:rPr>
        <w:t>根据《中华人民共和国网络安全法》《中华人民共和国数据安全法》《中华人民共和国个人信息保护法》</w:t>
      </w:r>
      <w:r>
        <w:rPr>
          <w:rFonts w:hint="eastAsia"/>
          <w:color w:val="auto"/>
          <w:highlight w:val="none"/>
          <w:lang w:eastAsia="zh-Hans"/>
        </w:rPr>
        <w:t>《河南省数字经济促进条例》</w:t>
      </w:r>
      <w:r>
        <w:rPr>
          <w:rFonts w:hint="eastAsia"/>
          <w:color w:val="auto"/>
          <w:highlight w:val="none"/>
        </w:rPr>
        <w:t>等法律</w:t>
      </w:r>
      <w:r>
        <w:rPr>
          <w:rFonts w:hint="eastAsia"/>
          <w:color w:val="auto"/>
          <w:highlight w:val="none"/>
          <w:lang w:eastAsia="zh-Hans"/>
        </w:rPr>
        <w:t>、</w:t>
      </w:r>
      <w:r>
        <w:rPr>
          <w:rFonts w:hint="eastAsia"/>
          <w:color w:val="auto"/>
          <w:highlight w:val="none"/>
        </w:rPr>
        <w:t>法规</w:t>
      </w:r>
      <w:r>
        <w:rPr>
          <w:rFonts w:hint="eastAsia"/>
          <w:color w:val="auto"/>
          <w:highlight w:val="none"/>
          <w:lang w:eastAsia="zh-Hans"/>
        </w:rPr>
        <w:t>和有关规定</w:t>
      </w:r>
      <w:bookmarkEnd w:id="2"/>
      <w:r>
        <w:rPr>
          <w:rFonts w:hint="eastAsia"/>
          <w:color w:val="auto"/>
          <w:highlight w:val="none"/>
          <w:lang w:eastAsia="zh-Hans"/>
        </w:rPr>
        <w:t>，</w:t>
      </w:r>
      <w:r>
        <w:rPr>
          <w:rFonts w:hint="eastAsia"/>
          <w:color w:val="auto"/>
          <w:highlight w:val="none"/>
        </w:rPr>
        <w:t>结合本市实际，制定本办法。</w:t>
      </w:r>
    </w:p>
    <w:p>
      <w:pPr>
        <w:tabs>
          <w:tab w:val="left" w:pos="0"/>
        </w:tabs>
        <w:ind w:firstLine="632" w:firstLineChars="0"/>
        <w:rPr>
          <w:color w:val="auto"/>
          <w:highlight w:val="none"/>
        </w:rPr>
      </w:pPr>
      <w:r>
        <w:rPr>
          <w:rFonts w:hint="eastAsia" w:ascii="黑体" w:hAnsi="黑体" w:eastAsia="黑体" w:cs="黑体"/>
          <w:color w:val="auto"/>
          <w:highlight w:val="none"/>
          <w:lang w:eastAsia="zh-Hans"/>
        </w:rPr>
        <w:t>第二条（术语定义）</w:t>
      </w:r>
      <w:r>
        <w:rPr>
          <w:rFonts w:hint="eastAsia"/>
          <w:color w:val="auto"/>
          <w:highlight w:val="none"/>
          <w:lang w:eastAsia="zh-Hans"/>
        </w:rPr>
        <w:t>本办法所称</w:t>
      </w:r>
      <w:r>
        <w:rPr>
          <w:rFonts w:hint="eastAsia"/>
          <w:color w:val="auto"/>
          <w:highlight w:val="none"/>
        </w:rPr>
        <w:t>数据流通交易，</w:t>
      </w:r>
      <w:r>
        <w:rPr>
          <w:rFonts w:hint="eastAsia"/>
          <w:color w:val="auto"/>
          <w:highlight w:val="none"/>
          <w:lang w:eastAsia="zh-Hans"/>
        </w:rPr>
        <w:t>是</w:t>
      </w:r>
      <w:r>
        <w:rPr>
          <w:rFonts w:hint="eastAsia"/>
          <w:color w:val="auto"/>
          <w:highlight w:val="none"/>
        </w:rPr>
        <w:t>指以数据资源、数据中间态、数据产品</w:t>
      </w:r>
      <w:r>
        <w:rPr>
          <w:rFonts w:hint="eastAsia"/>
          <w:color w:val="auto"/>
          <w:highlight w:val="none"/>
          <w:lang w:eastAsia="zh-CN"/>
        </w:rPr>
        <w:t>、</w:t>
      </w:r>
      <w:r>
        <w:rPr>
          <w:rFonts w:hint="eastAsia"/>
          <w:color w:val="auto"/>
          <w:highlight w:val="none"/>
          <w:lang w:val="en-US" w:eastAsia="zh-CN"/>
        </w:rPr>
        <w:t>数据服务</w:t>
      </w:r>
      <w:r>
        <w:rPr>
          <w:rFonts w:hint="eastAsia"/>
          <w:color w:val="auto"/>
          <w:highlight w:val="none"/>
          <w:lang w:eastAsia="zh-Hans"/>
        </w:rPr>
        <w:t>等</w:t>
      </w:r>
      <w:r>
        <w:rPr>
          <w:rFonts w:hint="eastAsia"/>
          <w:color w:val="auto"/>
          <w:highlight w:val="none"/>
        </w:rPr>
        <w:t>为</w:t>
      </w:r>
      <w:r>
        <w:rPr>
          <w:color w:val="auto"/>
          <w:highlight w:val="none"/>
        </w:rPr>
        <w:t>交易标的</w:t>
      </w:r>
      <w:r>
        <w:rPr>
          <w:rFonts w:hint="eastAsia"/>
          <w:color w:val="auto"/>
          <w:highlight w:val="none"/>
        </w:rPr>
        <w:t>，以法定货币为媒介、以合法方式</w:t>
      </w:r>
      <w:r>
        <w:rPr>
          <w:rFonts w:hint="default"/>
          <w:color w:val="auto"/>
          <w:highlight w:val="none"/>
          <w:lang w:val="en-US" w:eastAsia="zh-CN"/>
        </w:rPr>
        <w:t>进行交换的行为</w:t>
      </w:r>
      <w:r>
        <w:rPr>
          <w:rFonts w:hint="eastAsia"/>
          <w:color w:val="auto"/>
          <w:highlight w:val="none"/>
          <w:lang w:eastAsia="zh-Hans"/>
        </w:rPr>
        <w:t>。</w:t>
      </w:r>
    </w:p>
    <w:p>
      <w:pPr>
        <w:tabs>
          <w:tab w:val="left" w:pos="0"/>
        </w:tabs>
        <w:ind w:firstLine="632" w:firstLineChars="0"/>
        <w:rPr>
          <w:color w:val="auto"/>
          <w:highlight w:val="none"/>
        </w:rPr>
      </w:pPr>
      <w:r>
        <w:rPr>
          <w:rFonts w:hint="eastAsia" w:ascii="黑体" w:hAnsi="黑体" w:eastAsia="黑体" w:cs="黑体"/>
          <w:color w:val="auto"/>
          <w:highlight w:val="none"/>
          <w:lang w:eastAsia="zh-Hans"/>
        </w:rPr>
        <w:t>第三条（适用范围）</w:t>
      </w:r>
      <w:r>
        <w:rPr>
          <w:rFonts w:hint="eastAsia"/>
          <w:color w:val="auto"/>
          <w:highlight w:val="none"/>
        </w:rPr>
        <w:t>在本市行政区域内的数据</w:t>
      </w:r>
      <w:r>
        <w:rPr>
          <w:rFonts w:hint="eastAsia"/>
          <w:color w:val="auto"/>
          <w:highlight w:val="none"/>
          <w:lang w:eastAsia="zh-Hans"/>
        </w:rPr>
        <w:t>流通</w:t>
      </w:r>
      <w:r>
        <w:rPr>
          <w:rFonts w:hint="eastAsia"/>
          <w:color w:val="auto"/>
          <w:highlight w:val="none"/>
        </w:rPr>
        <w:t>交易及其相关活动，适用本办法。</w:t>
      </w:r>
    </w:p>
    <w:p>
      <w:pPr>
        <w:tabs>
          <w:tab w:val="left" w:pos="0"/>
        </w:tabs>
        <w:ind w:firstLine="632" w:firstLineChars="0"/>
        <w:rPr>
          <w:color w:val="auto"/>
          <w:highlight w:val="none"/>
        </w:rPr>
      </w:pPr>
      <w:r>
        <w:rPr>
          <w:rFonts w:hint="eastAsia" w:ascii="黑体" w:hAnsi="黑体" w:eastAsia="黑体" w:cs="黑体"/>
          <w:color w:val="auto"/>
          <w:highlight w:val="none"/>
          <w:lang w:eastAsia="zh-Hans"/>
        </w:rPr>
        <w:t>第四条（基本原则）</w:t>
      </w:r>
      <w:r>
        <w:rPr>
          <w:rFonts w:hint="eastAsia"/>
          <w:color w:val="auto"/>
          <w:highlight w:val="none"/>
        </w:rPr>
        <w:t>本市数据流通交易应当遵循政府引导、市场主导</w:t>
      </w:r>
      <w:r>
        <w:rPr>
          <w:rFonts w:hint="eastAsia"/>
          <w:color w:val="auto"/>
          <w:highlight w:val="none"/>
          <w:lang w:eastAsia="zh-Hans"/>
        </w:rPr>
        <w:t>、</w:t>
      </w:r>
      <w:r>
        <w:rPr>
          <w:rFonts w:hint="eastAsia"/>
          <w:color w:val="auto"/>
          <w:highlight w:val="none"/>
        </w:rPr>
        <w:t>合</w:t>
      </w:r>
      <w:r>
        <w:rPr>
          <w:rFonts w:hint="eastAsia"/>
          <w:color w:val="auto"/>
          <w:highlight w:val="none"/>
          <w:lang w:eastAsia="zh-Hans"/>
        </w:rPr>
        <w:t>法</w:t>
      </w:r>
      <w:r>
        <w:rPr>
          <w:rFonts w:hint="eastAsia"/>
          <w:color w:val="auto"/>
          <w:highlight w:val="none"/>
        </w:rPr>
        <w:t>合规</w:t>
      </w:r>
      <w:r>
        <w:rPr>
          <w:rFonts w:hint="eastAsia"/>
          <w:color w:val="auto"/>
          <w:highlight w:val="none"/>
          <w:lang w:eastAsia="zh-Hans"/>
        </w:rPr>
        <w:t>、</w:t>
      </w:r>
      <w:r>
        <w:rPr>
          <w:rFonts w:hint="eastAsia"/>
          <w:color w:val="auto"/>
          <w:highlight w:val="none"/>
        </w:rPr>
        <w:t>鼓励创新、</w:t>
      </w:r>
      <w:r>
        <w:rPr>
          <w:rFonts w:hint="eastAsia"/>
          <w:color w:val="auto"/>
          <w:highlight w:val="none"/>
          <w:lang w:eastAsia="zh-Hans"/>
        </w:rPr>
        <w:t>诚实守信</w:t>
      </w:r>
      <w:r>
        <w:rPr>
          <w:rFonts w:hint="eastAsia"/>
          <w:color w:val="auto"/>
          <w:highlight w:val="none"/>
        </w:rPr>
        <w:t>的原则</w:t>
      </w:r>
      <w:r>
        <w:rPr>
          <w:rFonts w:hint="eastAsia"/>
          <w:color w:val="auto"/>
          <w:highlight w:val="none"/>
          <w:lang w:eastAsia="zh-Hans"/>
        </w:rPr>
        <w:t>，</w:t>
      </w:r>
      <w:r>
        <w:rPr>
          <w:rFonts w:hint="eastAsia"/>
          <w:color w:val="auto"/>
          <w:highlight w:val="none"/>
        </w:rPr>
        <w:t>尊重社会公德和伦理，遵守商业道德和职业道德。</w:t>
      </w:r>
    </w:p>
    <w:p>
      <w:pPr>
        <w:tabs>
          <w:tab w:val="left" w:pos="0"/>
        </w:tabs>
        <w:ind w:firstLine="632" w:firstLineChars="0"/>
        <w:rPr>
          <w:color w:val="auto"/>
          <w:highlight w:val="none"/>
          <w:lang w:eastAsia="zh-Hans"/>
        </w:rPr>
      </w:pPr>
      <w:r>
        <w:rPr>
          <w:rFonts w:hint="eastAsia" w:ascii="黑体" w:hAnsi="黑体" w:eastAsia="黑体" w:cs="黑体"/>
          <w:color w:val="auto"/>
          <w:highlight w:val="none"/>
          <w:lang w:eastAsia="zh-Hans"/>
        </w:rPr>
        <w:t>第五条（职责</w:t>
      </w:r>
      <w:r>
        <w:rPr>
          <w:rFonts w:hint="eastAsia" w:ascii="黑体" w:hAnsi="黑体" w:eastAsia="黑体" w:cs="黑体"/>
          <w:color w:val="auto"/>
          <w:highlight w:val="none"/>
        </w:rPr>
        <w:t>分工</w:t>
      </w:r>
      <w:r>
        <w:rPr>
          <w:rFonts w:hint="eastAsia" w:ascii="黑体" w:hAnsi="黑体" w:eastAsia="黑体" w:cs="黑体"/>
          <w:color w:val="auto"/>
          <w:highlight w:val="none"/>
          <w:lang w:eastAsia="zh-Hans"/>
        </w:rPr>
        <w:t>）</w:t>
      </w:r>
      <w:r>
        <w:rPr>
          <w:rFonts w:hint="eastAsia"/>
          <w:color w:val="auto"/>
          <w:highlight w:val="none"/>
          <w:lang w:eastAsia="zh-Hans"/>
        </w:rPr>
        <w:t>市人民政府统一领导本市数据流通交易工作</w:t>
      </w:r>
      <w:r>
        <w:rPr>
          <w:rFonts w:hint="eastAsia"/>
          <w:color w:val="auto"/>
          <w:highlight w:val="none"/>
        </w:rPr>
        <w:t>，</w:t>
      </w:r>
      <w:r>
        <w:rPr>
          <w:rFonts w:hint="eastAsia"/>
          <w:color w:val="auto"/>
          <w:highlight w:val="none"/>
          <w:lang w:eastAsia="zh-Hans"/>
        </w:rPr>
        <w:t>完善促进数据流通交易的工作协调机制，研究决定数据流通交易创新发展中的重大问题</w:t>
      </w:r>
      <w:r>
        <w:rPr>
          <w:rFonts w:hint="eastAsia"/>
          <w:color w:val="auto"/>
          <w:highlight w:val="none"/>
        </w:rPr>
        <w:t>，促进数据要素依法有序流通。</w:t>
      </w:r>
    </w:p>
    <w:p>
      <w:pPr>
        <w:ind w:firstLine="632"/>
        <w:rPr>
          <w:color w:val="auto"/>
          <w:highlight w:val="none"/>
          <w:lang w:eastAsia="zh-Hans"/>
        </w:rPr>
      </w:pPr>
      <w:r>
        <w:rPr>
          <w:rFonts w:hint="eastAsia"/>
          <w:color w:val="auto"/>
          <w:highlight w:val="none"/>
          <w:lang w:eastAsia="zh-Hans"/>
        </w:rPr>
        <w:t>市数据主管部门负责</w:t>
      </w:r>
      <w:r>
        <w:rPr>
          <w:rFonts w:hint="eastAsia"/>
          <w:color w:val="auto"/>
          <w:highlight w:val="none"/>
        </w:rPr>
        <w:t>统筹协调</w:t>
      </w:r>
      <w:r>
        <w:rPr>
          <w:rFonts w:hint="eastAsia"/>
          <w:color w:val="auto"/>
          <w:highlight w:val="none"/>
          <w:lang w:eastAsia="zh-Hans"/>
        </w:rPr>
        <w:t>本市数据流通交易管理具体工作，会同相关部门建立协同配合的数据</w:t>
      </w:r>
      <w:r>
        <w:rPr>
          <w:rFonts w:hint="eastAsia"/>
          <w:color w:val="auto"/>
          <w:highlight w:val="none"/>
        </w:rPr>
        <w:t>流通</w:t>
      </w:r>
      <w:r>
        <w:rPr>
          <w:rFonts w:hint="eastAsia"/>
          <w:color w:val="auto"/>
          <w:highlight w:val="none"/>
          <w:lang w:eastAsia="zh-Hans"/>
        </w:rPr>
        <w:t>交易监督工作机制，指导数据交易机构的经营管理活动，鼓励和引导</w:t>
      </w:r>
      <w:r>
        <w:rPr>
          <w:rFonts w:hint="default"/>
          <w:color w:val="auto"/>
          <w:highlight w:val="none"/>
          <w:lang w:val="en-US" w:eastAsia="zh-Hans"/>
        </w:rPr>
        <w:t>交易主体</w:t>
      </w:r>
      <w:r>
        <w:rPr>
          <w:rFonts w:hint="eastAsia"/>
          <w:color w:val="auto"/>
          <w:highlight w:val="none"/>
          <w:lang w:eastAsia="zh-Hans"/>
        </w:rPr>
        <w:t>在数据交易机构开展数据交易</w:t>
      </w:r>
      <w:r>
        <w:rPr>
          <w:rFonts w:hint="eastAsia"/>
          <w:color w:val="auto"/>
          <w:highlight w:val="none"/>
          <w:lang w:val="en-US" w:eastAsia="zh-CN"/>
        </w:rPr>
        <w:t>活动</w:t>
      </w:r>
      <w:r>
        <w:rPr>
          <w:rFonts w:hint="eastAsia"/>
          <w:color w:val="auto"/>
          <w:highlight w:val="none"/>
        </w:rPr>
        <w:t>，培育壮大数据要素市场</w:t>
      </w:r>
      <w:r>
        <w:rPr>
          <w:rFonts w:hint="eastAsia"/>
          <w:color w:val="auto"/>
          <w:highlight w:val="none"/>
          <w:lang w:eastAsia="zh-Hans"/>
        </w:rPr>
        <w:t>。</w:t>
      </w:r>
    </w:p>
    <w:p>
      <w:pPr>
        <w:pStyle w:val="2"/>
        <w:ind w:firstLine="632"/>
        <w:rPr>
          <w:color w:val="auto"/>
          <w:highlight w:val="none"/>
        </w:rPr>
      </w:pPr>
      <w:r>
        <w:rPr>
          <w:rFonts w:hint="eastAsia" w:ascii="黑体" w:hAnsi="黑体" w:eastAsia="黑体" w:cs="黑体"/>
          <w:color w:val="auto"/>
          <w:highlight w:val="none"/>
        </w:rPr>
        <w:t>第六条（市场培育）</w:t>
      </w:r>
      <w:r>
        <w:rPr>
          <w:rFonts w:hint="eastAsia"/>
          <w:color w:val="auto"/>
          <w:highlight w:val="none"/>
        </w:rPr>
        <w:t>本市培育公平、开放、有序的数据要素市场</w:t>
      </w:r>
      <w:r>
        <w:rPr>
          <w:rFonts w:hint="eastAsia"/>
          <w:color w:val="auto"/>
          <w:highlight w:val="none"/>
          <w:lang w:val="en-US" w:eastAsia="zh-CN"/>
        </w:rPr>
        <w:t>，</w:t>
      </w:r>
      <w:r>
        <w:rPr>
          <w:rFonts w:hint="eastAsia"/>
          <w:color w:val="auto"/>
          <w:highlight w:val="none"/>
        </w:rPr>
        <w:t>统筹推进场内场外数据</w:t>
      </w:r>
      <w:r>
        <w:rPr>
          <w:rFonts w:hint="eastAsia"/>
          <w:color w:val="auto"/>
          <w:highlight w:val="none"/>
          <w:lang w:val="en-US" w:eastAsia="zh-CN"/>
        </w:rPr>
        <w:t>流通</w:t>
      </w:r>
      <w:r>
        <w:rPr>
          <w:rFonts w:hint="eastAsia"/>
          <w:color w:val="auto"/>
          <w:highlight w:val="none"/>
        </w:rPr>
        <w:t>交易，促进数据要素依法有序流动</w:t>
      </w:r>
      <w:r>
        <w:rPr>
          <w:rFonts w:hint="eastAsia"/>
          <w:color w:val="auto"/>
          <w:highlight w:val="none"/>
          <w:lang w:eastAsia="zh-CN"/>
        </w:rPr>
        <w:t>，</w:t>
      </w:r>
      <w:r>
        <w:rPr>
          <w:rFonts w:hint="eastAsia"/>
          <w:color w:val="auto"/>
          <w:highlight w:val="none"/>
          <w:lang w:val="en-US" w:eastAsia="zh-CN"/>
        </w:rPr>
        <w:t>实现多层次数据要素市场互联互通、场内场外交易互认互信</w:t>
      </w:r>
      <w:r>
        <w:rPr>
          <w:rFonts w:hint="eastAsia"/>
          <w:color w:val="auto"/>
          <w:highlight w:val="none"/>
        </w:rPr>
        <w:t>。</w:t>
      </w:r>
    </w:p>
    <w:p>
      <w:pPr>
        <w:ind w:firstLine="632"/>
        <w:rPr>
          <w:color w:val="auto"/>
          <w:highlight w:val="none"/>
          <w:lang w:eastAsia="zh-Hans"/>
        </w:rPr>
      </w:pPr>
      <w:r>
        <w:rPr>
          <w:rFonts w:hint="eastAsia" w:ascii="黑体" w:hAnsi="黑体" w:eastAsia="黑体" w:cs="黑体"/>
          <w:color w:val="auto"/>
          <w:highlight w:val="none"/>
          <w:lang w:eastAsia="zh-Hans"/>
        </w:rPr>
        <w:t>第</w:t>
      </w:r>
      <w:r>
        <w:rPr>
          <w:rFonts w:hint="eastAsia" w:ascii="黑体" w:hAnsi="黑体" w:eastAsia="黑体" w:cs="黑体"/>
          <w:color w:val="auto"/>
          <w:highlight w:val="none"/>
        </w:rPr>
        <w:t>七</w:t>
      </w:r>
      <w:r>
        <w:rPr>
          <w:rFonts w:hint="eastAsia" w:ascii="黑体" w:hAnsi="黑体" w:eastAsia="黑体" w:cs="黑体"/>
          <w:color w:val="auto"/>
          <w:highlight w:val="none"/>
          <w:lang w:eastAsia="zh-Hans"/>
        </w:rPr>
        <w:t>条（行业自律）</w:t>
      </w:r>
      <w:r>
        <w:rPr>
          <w:rFonts w:hint="eastAsia"/>
          <w:color w:val="auto"/>
          <w:highlight w:val="none"/>
          <w:lang w:eastAsia="zh-Hans"/>
        </w:rPr>
        <w:t>鼓励数据交易主体依法成立行业组织，加强行业自律</w:t>
      </w:r>
      <w:r>
        <w:rPr>
          <w:rFonts w:hint="eastAsia"/>
          <w:color w:val="auto"/>
          <w:highlight w:val="none"/>
        </w:rPr>
        <w:t>和业务指导</w:t>
      </w:r>
      <w:r>
        <w:rPr>
          <w:rFonts w:hint="eastAsia"/>
          <w:color w:val="auto"/>
          <w:highlight w:val="none"/>
          <w:lang w:eastAsia="zh-Hans"/>
        </w:rPr>
        <w:t>，开展交流、咨询和培训等活动</w:t>
      </w:r>
      <w:r>
        <w:rPr>
          <w:rFonts w:hint="eastAsia"/>
          <w:color w:val="auto"/>
          <w:highlight w:val="none"/>
        </w:rPr>
        <w:t>，</w:t>
      </w:r>
      <w:r>
        <w:rPr>
          <w:rFonts w:hint="eastAsia"/>
          <w:color w:val="auto"/>
          <w:highlight w:val="none"/>
          <w:lang w:eastAsia="zh-Hans"/>
        </w:rPr>
        <w:t>促进行业规范发展。</w:t>
      </w:r>
    </w:p>
    <w:p>
      <w:pPr>
        <w:numPr>
          <w:ilvl w:val="255"/>
          <w:numId w:val="0"/>
        </w:numPr>
        <w:tabs>
          <w:tab w:val="left" w:pos="0"/>
        </w:tabs>
        <w:rPr>
          <w:color w:val="auto"/>
          <w:highlight w:val="none"/>
          <w:lang w:eastAsia="zh-Hans"/>
        </w:rPr>
      </w:pPr>
    </w:p>
    <w:p>
      <w:pPr>
        <w:widowControl/>
        <w:ind w:firstLine="0" w:firstLineChars="0"/>
        <w:jc w:val="center"/>
        <w:outlineLvl w:val="0"/>
        <w:rPr>
          <w:rFonts w:hint="eastAsia" w:ascii="宋体" w:hAnsi="宋体" w:eastAsia="黑体" w:cs="宋体"/>
          <w:bCs/>
          <w:color w:val="auto"/>
          <w:kern w:val="36"/>
          <w:szCs w:val="48"/>
          <w:highlight w:val="none"/>
          <w:lang w:eastAsia="zh-Hans"/>
        </w:rPr>
      </w:pPr>
      <w:bookmarkStart w:id="3" w:name="_Toc2067628561"/>
      <w:r>
        <w:rPr>
          <w:rFonts w:hint="eastAsia" w:ascii="宋体" w:hAnsi="宋体" w:eastAsia="黑体" w:cs="宋体"/>
          <w:bCs/>
          <w:color w:val="auto"/>
          <w:kern w:val="36"/>
          <w:szCs w:val="48"/>
          <w:highlight w:val="none"/>
        </w:rPr>
        <w:t>第二章</w:t>
      </w:r>
      <w:r>
        <w:rPr>
          <w:rFonts w:ascii="宋体" w:hAnsi="宋体" w:eastAsia="黑体" w:cs="宋体"/>
          <w:bCs/>
          <w:color w:val="auto"/>
          <w:kern w:val="36"/>
          <w:szCs w:val="48"/>
          <w:highlight w:val="none"/>
        </w:rPr>
        <w:t xml:space="preserve"> </w:t>
      </w:r>
      <w:r>
        <w:rPr>
          <w:rFonts w:hint="eastAsia" w:ascii="宋体" w:hAnsi="宋体" w:eastAsia="黑体" w:cs="宋体"/>
          <w:bCs/>
          <w:color w:val="auto"/>
          <w:kern w:val="36"/>
          <w:szCs w:val="48"/>
          <w:highlight w:val="none"/>
          <w:lang w:eastAsia="zh-Hans"/>
        </w:rPr>
        <w:t>交易机构</w:t>
      </w:r>
      <w:bookmarkEnd w:id="3"/>
    </w:p>
    <w:p>
      <w:pPr>
        <w:ind w:firstLine="632"/>
        <w:rPr>
          <w:color w:val="auto"/>
          <w:highlight w:val="none"/>
        </w:rPr>
      </w:pPr>
    </w:p>
    <w:p>
      <w:pPr>
        <w:tabs>
          <w:tab w:val="left" w:pos="0"/>
        </w:tabs>
        <w:ind w:firstLine="632" w:firstLineChars="0"/>
        <w:jc w:val="left"/>
        <w:rPr>
          <w:rFonts w:hint="eastAsia" w:ascii="Times New Roman" w:hAnsi="Times New Roman" w:cstheme="minorBidi"/>
          <w:color w:val="auto"/>
          <w:highlight w:val="none"/>
          <w:lang w:val="en-US" w:eastAsia="zh-CN"/>
        </w:rPr>
      </w:pPr>
      <w:r>
        <w:rPr>
          <w:rFonts w:hint="eastAsia" w:ascii="黑体" w:hAnsi="黑体" w:eastAsia="黑体" w:cs="黑体"/>
          <w:color w:val="auto"/>
          <w:highlight w:val="none"/>
          <w:lang w:eastAsia="zh-Hans"/>
        </w:rPr>
        <w:t>第</w:t>
      </w:r>
      <w:r>
        <w:rPr>
          <w:rFonts w:hint="eastAsia" w:ascii="黑体" w:hAnsi="黑体" w:eastAsia="黑体" w:cs="黑体"/>
          <w:color w:val="auto"/>
          <w:highlight w:val="none"/>
        </w:rPr>
        <w:t>八</w:t>
      </w:r>
      <w:r>
        <w:rPr>
          <w:rFonts w:hint="eastAsia" w:ascii="黑体" w:hAnsi="黑体" w:eastAsia="黑体" w:cs="黑体"/>
          <w:color w:val="auto"/>
          <w:highlight w:val="none"/>
          <w:lang w:eastAsia="zh-Hans"/>
        </w:rPr>
        <w:t>条</w:t>
      </w:r>
      <w:r>
        <w:rPr>
          <w:rFonts w:hint="eastAsia" w:ascii="黑体" w:hAnsi="黑体" w:eastAsia="黑体" w:cs="黑体"/>
          <w:color w:val="auto"/>
          <w:highlight w:val="none"/>
          <w:lang w:eastAsia="zh-CN"/>
        </w:rPr>
        <w:t>（</w:t>
      </w:r>
      <w:r>
        <w:rPr>
          <w:rFonts w:hint="eastAsia" w:ascii="黑体" w:hAnsi="黑体" w:eastAsia="黑体" w:cs="黑体"/>
          <w:color w:val="auto"/>
          <w:highlight w:val="none"/>
          <w:lang w:val="en-US" w:eastAsia="zh-CN"/>
        </w:rPr>
        <w:t>交易机构</w:t>
      </w:r>
      <w:r>
        <w:rPr>
          <w:rFonts w:hint="eastAsia" w:ascii="黑体" w:hAnsi="黑体" w:eastAsia="黑体" w:cs="黑体"/>
          <w:color w:val="auto"/>
          <w:highlight w:val="none"/>
          <w:lang w:eastAsia="zh-CN"/>
        </w:rPr>
        <w:t>）</w:t>
      </w:r>
      <w:r>
        <w:rPr>
          <w:rFonts w:hint="eastAsia" w:ascii="Times New Roman" w:hAnsi="Times New Roman" w:eastAsia="FangSong_GB2312" w:cstheme="minorBidi"/>
          <w:color w:val="auto"/>
          <w:highlight w:val="none"/>
          <w:lang w:eastAsia="zh-Hans"/>
        </w:rPr>
        <w:t>数据交易机构，</w:t>
      </w:r>
      <w:r>
        <w:rPr>
          <w:rFonts w:hint="eastAsia" w:ascii="Times New Roman" w:hAnsi="Times New Roman" w:eastAsia="FangSong_GB2312" w:cstheme="minorBidi"/>
          <w:color w:val="auto"/>
          <w:highlight w:val="none"/>
          <w:lang w:val="en-US" w:eastAsia="zh-Hans"/>
        </w:rPr>
        <w:t>是指依托数据交易平台</w:t>
      </w:r>
      <w:r>
        <w:rPr>
          <w:rFonts w:hint="eastAsia" w:ascii="Times New Roman" w:hAnsi="Times New Roman" w:eastAsia="FangSong_GB2312" w:cstheme="minorBidi"/>
          <w:color w:val="auto"/>
          <w:highlight w:val="none"/>
          <w:lang w:eastAsia="zh-Hans"/>
        </w:rPr>
        <w:t>为交易主体提供场内集中交易或场外分散交易服务的企业法人</w:t>
      </w:r>
      <w:r>
        <w:rPr>
          <w:rFonts w:hint="eastAsia" w:ascii="Times New Roman" w:hAnsi="Times New Roman" w:cstheme="minorBidi"/>
          <w:color w:val="auto"/>
          <w:highlight w:val="none"/>
          <w:lang w:eastAsia="zh-CN"/>
        </w:rPr>
        <w:t>。</w:t>
      </w:r>
    </w:p>
    <w:p>
      <w:pPr>
        <w:pStyle w:val="2"/>
        <w:rPr>
          <w:rFonts w:hint="eastAsia"/>
          <w:lang w:eastAsia="zh-CN"/>
        </w:rPr>
      </w:pPr>
      <w:r>
        <w:rPr>
          <w:rFonts w:hint="eastAsia"/>
          <w:lang w:val="en-US" w:eastAsia="zh-CN"/>
        </w:rPr>
        <w:t>本市</w:t>
      </w:r>
      <w:r>
        <w:rPr>
          <w:rFonts w:hint="eastAsia"/>
          <w:lang w:eastAsia="zh-CN"/>
        </w:rPr>
        <w:t>鼓励</w:t>
      </w:r>
      <w:r>
        <w:rPr>
          <w:rFonts w:hint="eastAsia"/>
          <w:lang w:val="en-US" w:eastAsia="zh-CN"/>
        </w:rPr>
        <w:t>各类交易</w:t>
      </w:r>
      <w:r>
        <w:rPr>
          <w:rFonts w:hint="eastAsia"/>
          <w:lang w:eastAsia="zh-CN"/>
        </w:rPr>
        <w:t>主体</w:t>
      </w:r>
      <w:r>
        <w:rPr>
          <w:rFonts w:hint="eastAsia"/>
          <w:lang w:val="en-US" w:eastAsia="zh-CN"/>
        </w:rPr>
        <w:t>在</w:t>
      </w:r>
      <w:r>
        <w:rPr>
          <w:rFonts w:hint="eastAsia"/>
          <w:lang w:eastAsia="zh-CN"/>
        </w:rPr>
        <w:t>数据交易机构</w:t>
      </w:r>
      <w:r>
        <w:rPr>
          <w:rFonts w:hint="eastAsia"/>
          <w:lang w:val="en-US" w:eastAsia="zh-CN"/>
        </w:rPr>
        <w:t>开展</w:t>
      </w:r>
      <w:r>
        <w:rPr>
          <w:rFonts w:hint="eastAsia"/>
          <w:lang w:eastAsia="zh-CN"/>
        </w:rPr>
        <w:t>数据交易活动。</w:t>
      </w:r>
    </w:p>
    <w:p>
      <w:pPr>
        <w:tabs>
          <w:tab w:val="left" w:pos="0"/>
        </w:tabs>
        <w:ind w:firstLine="632" w:firstLineChars="0"/>
        <w:jc w:val="left"/>
        <w:rPr>
          <w:color w:val="auto"/>
          <w:highlight w:val="none"/>
          <w:lang w:eastAsia="zh-Hans"/>
        </w:rPr>
      </w:pPr>
      <w:r>
        <w:rPr>
          <w:rFonts w:hint="eastAsia" w:ascii="黑体" w:hAnsi="黑体" w:eastAsia="黑体" w:cs="黑体"/>
          <w:color w:val="auto"/>
          <w:highlight w:val="none"/>
          <w:lang w:eastAsia="zh-Hans"/>
        </w:rPr>
        <w:t>第</w:t>
      </w:r>
      <w:r>
        <w:rPr>
          <w:rFonts w:hint="eastAsia" w:ascii="黑体" w:hAnsi="黑体" w:eastAsia="黑体" w:cs="黑体"/>
          <w:color w:val="auto"/>
          <w:highlight w:val="none"/>
          <w:lang w:val="en-US" w:eastAsia="zh-CN"/>
        </w:rPr>
        <w:t>九</w:t>
      </w:r>
      <w:r>
        <w:rPr>
          <w:rFonts w:hint="eastAsia" w:ascii="黑体" w:hAnsi="黑体" w:eastAsia="黑体" w:cs="黑体"/>
          <w:color w:val="auto"/>
          <w:highlight w:val="none"/>
          <w:lang w:eastAsia="zh-Hans"/>
        </w:rPr>
        <w:t>条（设立要求）</w:t>
      </w:r>
      <w:r>
        <w:rPr>
          <w:rFonts w:hint="eastAsia"/>
          <w:color w:val="auto"/>
          <w:highlight w:val="none"/>
          <w:lang w:eastAsia="zh-Hans"/>
        </w:rPr>
        <w:t>在本市设立</w:t>
      </w:r>
      <w:r>
        <w:rPr>
          <w:color w:val="auto"/>
          <w:highlight w:val="none"/>
          <w:lang w:eastAsia="zh-Hans"/>
        </w:rPr>
        <w:t>数据交易机构</w:t>
      </w:r>
      <w:r>
        <w:rPr>
          <w:rFonts w:hint="eastAsia"/>
          <w:color w:val="auto"/>
          <w:highlight w:val="none"/>
          <w:lang w:eastAsia="zh-Hans"/>
        </w:rPr>
        <w:t>原则上应当采取公司制组织形式，符合《中华人民</w:t>
      </w:r>
      <w:bookmarkStart w:id="10" w:name="_GoBack"/>
      <w:bookmarkEnd w:id="10"/>
      <w:r>
        <w:rPr>
          <w:rFonts w:hint="eastAsia"/>
          <w:color w:val="auto"/>
          <w:highlight w:val="none"/>
          <w:lang w:eastAsia="zh-Hans"/>
        </w:rPr>
        <w:t>共和国公司法》规定，依法建立健全法人组织结构、财务管理制度等，并符合下列要求：</w:t>
      </w:r>
    </w:p>
    <w:p>
      <w:pPr>
        <w:ind w:firstLine="632"/>
        <w:rPr>
          <w:color w:val="auto"/>
          <w:highlight w:val="none"/>
          <w:lang w:eastAsia="zh-Hans"/>
        </w:rPr>
      </w:pPr>
      <w:r>
        <w:rPr>
          <w:rFonts w:hint="eastAsia"/>
          <w:color w:val="auto"/>
          <w:highlight w:val="none"/>
          <w:lang w:eastAsia="zh-Hans"/>
        </w:rPr>
        <w:t>（一）依法申请办理市场主体登记；</w:t>
      </w:r>
    </w:p>
    <w:p>
      <w:pPr>
        <w:ind w:firstLine="632"/>
        <w:rPr>
          <w:color w:val="auto"/>
          <w:highlight w:val="none"/>
          <w:lang w:eastAsia="zh-Hans"/>
        </w:rPr>
      </w:pPr>
      <w:r>
        <w:rPr>
          <w:color w:val="auto"/>
          <w:highlight w:val="none"/>
          <w:lang w:eastAsia="zh-Hans"/>
        </w:rPr>
        <w:t>（二）未被列入严重失信主体名单；</w:t>
      </w:r>
    </w:p>
    <w:p>
      <w:pPr>
        <w:ind w:firstLine="632"/>
        <w:rPr>
          <w:color w:val="auto"/>
          <w:highlight w:val="none"/>
          <w:lang w:eastAsia="zh-Hans"/>
        </w:rPr>
      </w:pPr>
      <w:r>
        <w:rPr>
          <w:rFonts w:hint="eastAsia"/>
          <w:color w:val="auto"/>
          <w:highlight w:val="none"/>
          <w:lang w:eastAsia="zh-Hans"/>
        </w:rPr>
        <w:t>（三）数据交易平台部署在我国境内；</w:t>
      </w:r>
    </w:p>
    <w:p>
      <w:pPr>
        <w:ind w:firstLine="632"/>
        <w:rPr>
          <w:color w:val="auto"/>
          <w:highlight w:val="none"/>
          <w:lang w:eastAsia="zh-Hans"/>
        </w:rPr>
      </w:pPr>
      <w:r>
        <w:rPr>
          <w:color w:val="auto"/>
          <w:highlight w:val="none"/>
          <w:lang w:eastAsia="zh-Hans"/>
        </w:rPr>
        <w:t>（</w:t>
      </w:r>
      <w:r>
        <w:rPr>
          <w:rFonts w:hint="eastAsia"/>
          <w:color w:val="auto"/>
          <w:highlight w:val="none"/>
          <w:lang w:eastAsia="zh-Hans"/>
        </w:rPr>
        <w:t>四</w:t>
      </w:r>
      <w:r>
        <w:rPr>
          <w:color w:val="auto"/>
          <w:highlight w:val="none"/>
          <w:lang w:eastAsia="zh-Hans"/>
        </w:rPr>
        <w:t>）法律、法规、规章规定的其他要求。</w:t>
      </w:r>
    </w:p>
    <w:p>
      <w:pPr>
        <w:tabs>
          <w:tab w:val="left" w:pos="0"/>
        </w:tabs>
        <w:ind w:firstLine="632" w:firstLineChars="0"/>
        <w:jc w:val="left"/>
        <w:rPr>
          <w:color w:val="auto"/>
          <w:highlight w:val="none"/>
          <w:lang w:eastAsia="zh-Hans"/>
        </w:rPr>
      </w:pPr>
      <w:r>
        <w:rPr>
          <w:rFonts w:hint="eastAsia" w:ascii="黑体" w:hAnsi="黑体" w:eastAsia="黑体" w:cs="黑体"/>
          <w:color w:val="auto"/>
          <w:highlight w:val="none"/>
          <w:lang w:eastAsia="zh-Hans"/>
        </w:rPr>
        <w:t>第</w:t>
      </w:r>
      <w:r>
        <w:rPr>
          <w:rFonts w:hint="eastAsia" w:ascii="黑体" w:hAnsi="黑体" w:eastAsia="黑体" w:cs="黑体"/>
          <w:color w:val="auto"/>
          <w:highlight w:val="none"/>
          <w:lang w:val="en-US" w:eastAsia="zh-CN"/>
        </w:rPr>
        <w:t>十</w:t>
      </w:r>
      <w:r>
        <w:rPr>
          <w:rFonts w:hint="eastAsia" w:ascii="黑体" w:hAnsi="黑体" w:eastAsia="黑体" w:cs="黑体"/>
          <w:color w:val="auto"/>
          <w:highlight w:val="none"/>
          <w:lang w:eastAsia="zh-Hans"/>
        </w:rPr>
        <w:t>条（</w:t>
      </w:r>
      <w:r>
        <w:rPr>
          <w:rFonts w:hint="eastAsia" w:ascii="黑体" w:hAnsi="黑体" w:eastAsia="黑体" w:cs="黑体"/>
          <w:color w:val="auto"/>
          <w:highlight w:val="none"/>
        </w:rPr>
        <w:t>职责</w:t>
      </w:r>
      <w:r>
        <w:rPr>
          <w:rFonts w:hint="eastAsia" w:ascii="黑体" w:hAnsi="黑体" w:eastAsia="黑体" w:cs="黑体"/>
          <w:color w:val="auto"/>
          <w:highlight w:val="none"/>
          <w:lang w:eastAsia="zh-Hans"/>
        </w:rPr>
        <w:t>要求）</w:t>
      </w:r>
      <w:r>
        <w:rPr>
          <w:color w:val="auto"/>
          <w:highlight w:val="none"/>
          <w:lang w:eastAsia="zh-Hans"/>
        </w:rPr>
        <w:t>数据交易机构</w:t>
      </w:r>
      <w:r>
        <w:rPr>
          <w:rFonts w:hint="default"/>
          <w:color w:val="auto"/>
          <w:highlight w:val="none"/>
          <w:lang w:val="en-US" w:eastAsia="zh-CN"/>
        </w:rPr>
        <w:t>应当为</w:t>
      </w:r>
      <w:r>
        <w:rPr>
          <w:rFonts w:hint="eastAsia"/>
          <w:color w:val="auto"/>
          <w:highlight w:val="none"/>
          <w:lang w:val="en-US" w:eastAsia="zh-CN"/>
        </w:rPr>
        <w:t>交易主体开展数据</w:t>
      </w:r>
      <w:r>
        <w:rPr>
          <w:rFonts w:hint="eastAsia"/>
          <w:color w:val="auto"/>
          <w:highlight w:val="none"/>
        </w:rPr>
        <w:t>交易提供基础设施和基本服务</w:t>
      </w:r>
      <w:r>
        <w:rPr>
          <w:rFonts w:hint="eastAsia"/>
          <w:color w:val="auto"/>
          <w:highlight w:val="none"/>
          <w:lang w:eastAsia="zh-CN"/>
        </w:rPr>
        <w:t>，</w:t>
      </w:r>
      <w:r>
        <w:rPr>
          <w:rFonts w:hint="eastAsia"/>
          <w:color w:val="auto"/>
          <w:highlight w:val="none"/>
          <w:lang w:val="en-US" w:eastAsia="zh-CN"/>
        </w:rPr>
        <w:t>具体</w:t>
      </w:r>
      <w:r>
        <w:rPr>
          <w:rFonts w:hint="eastAsia"/>
          <w:color w:val="auto"/>
          <w:highlight w:val="none"/>
          <w:lang w:eastAsia="zh-Hans"/>
        </w:rPr>
        <w:t>应当符合以下</w:t>
      </w:r>
      <w:r>
        <w:rPr>
          <w:color w:val="auto"/>
          <w:highlight w:val="none"/>
          <w:lang w:eastAsia="zh-Hans"/>
        </w:rPr>
        <w:t>要求</w:t>
      </w:r>
      <w:r>
        <w:rPr>
          <w:rFonts w:hint="eastAsia"/>
          <w:color w:val="auto"/>
          <w:highlight w:val="none"/>
          <w:lang w:eastAsia="zh-Hans"/>
        </w:rPr>
        <w:t>：</w:t>
      </w:r>
    </w:p>
    <w:p>
      <w:pPr>
        <w:ind w:firstLine="632"/>
        <w:jc w:val="left"/>
        <w:rPr>
          <w:rFonts w:cs="宋体"/>
          <w:color w:val="auto"/>
          <w:highlight w:val="none"/>
          <w:lang w:eastAsia="zh-Hans"/>
        </w:rPr>
      </w:pPr>
      <w:r>
        <w:rPr>
          <w:rFonts w:hint="eastAsia" w:cs="宋体"/>
          <w:color w:val="auto"/>
          <w:highlight w:val="none"/>
          <w:lang w:eastAsia="zh-Hans"/>
        </w:rPr>
        <w:t>（一）提供数据交易平台，搭建安全、可信、可控、可追溯的数据交易环境；</w:t>
      </w:r>
    </w:p>
    <w:p>
      <w:pPr>
        <w:ind w:firstLine="632"/>
        <w:jc w:val="left"/>
        <w:rPr>
          <w:rFonts w:cs="宋体"/>
          <w:color w:val="auto"/>
          <w:highlight w:val="none"/>
          <w:lang w:eastAsia="zh-Hans"/>
        </w:rPr>
      </w:pPr>
      <w:r>
        <w:rPr>
          <w:rFonts w:hint="eastAsia" w:cs="宋体"/>
          <w:color w:val="auto"/>
          <w:highlight w:val="none"/>
          <w:lang w:eastAsia="zh-Hans"/>
        </w:rPr>
        <w:t>（二）制定数据交易服务规则；</w:t>
      </w:r>
    </w:p>
    <w:p>
      <w:pPr>
        <w:ind w:firstLine="632"/>
        <w:jc w:val="left"/>
        <w:rPr>
          <w:rFonts w:cs="宋体"/>
          <w:color w:val="auto"/>
          <w:highlight w:val="none"/>
          <w:lang w:eastAsia="zh-Hans"/>
        </w:rPr>
      </w:pPr>
      <w:r>
        <w:rPr>
          <w:rFonts w:hint="eastAsia" w:cs="宋体"/>
          <w:color w:val="auto"/>
          <w:highlight w:val="none"/>
          <w:lang w:eastAsia="zh-Hans"/>
        </w:rPr>
        <w:t>（三）提供数据</w:t>
      </w:r>
      <w:r>
        <w:rPr>
          <w:rFonts w:cs="宋体"/>
          <w:color w:val="auto"/>
          <w:highlight w:val="none"/>
          <w:lang w:eastAsia="zh-Hans"/>
        </w:rPr>
        <w:t>交易标的</w:t>
      </w:r>
      <w:r>
        <w:rPr>
          <w:rFonts w:hint="eastAsia" w:cs="宋体"/>
          <w:color w:val="auto"/>
          <w:highlight w:val="none"/>
          <w:lang w:val="en-US" w:eastAsia="zh-CN"/>
        </w:rPr>
        <w:t>上架</w:t>
      </w:r>
      <w:r>
        <w:rPr>
          <w:rFonts w:hint="eastAsia" w:cs="宋体"/>
          <w:color w:val="auto"/>
          <w:highlight w:val="none"/>
          <w:lang w:eastAsia="zh-Hans"/>
        </w:rPr>
        <w:t>发布、交易申请、交易磋商、交易实施、交付结算、争议处理等服务；</w:t>
      </w:r>
    </w:p>
    <w:p>
      <w:pPr>
        <w:ind w:firstLine="632"/>
        <w:jc w:val="left"/>
        <w:rPr>
          <w:rFonts w:cs="宋体"/>
          <w:color w:val="auto"/>
          <w:highlight w:val="none"/>
          <w:lang w:eastAsia="zh-Hans"/>
        </w:rPr>
      </w:pPr>
      <w:r>
        <w:rPr>
          <w:rFonts w:hint="eastAsia" w:cs="宋体"/>
          <w:color w:val="auto"/>
          <w:highlight w:val="none"/>
          <w:lang w:eastAsia="zh-Hans"/>
        </w:rPr>
        <w:t>（四）对交易</w:t>
      </w:r>
      <w:r>
        <w:rPr>
          <w:rFonts w:hint="eastAsia" w:cs="宋体"/>
          <w:color w:val="auto"/>
          <w:highlight w:val="none"/>
        </w:rPr>
        <w:t>日志</w:t>
      </w:r>
      <w:r>
        <w:rPr>
          <w:rFonts w:hint="eastAsia" w:cs="宋体"/>
          <w:color w:val="auto"/>
          <w:highlight w:val="none"/>
          <w:lang w:eastAsia="zh-Hans"/>
        </w:rPr>
        <w:t>进行保管和归档，日志保存时间不少于六个月；</w:t>
      </w:r>
    </w:p>
    <w:p>
      <w:pPr>
        <w:pStyle w:val="2"/>
        <w:ind w:firstLine="632"/>
        <w:rPr>
          <w:rFonts w:hint="eastAsia"/>
          <w:color w:val="auto"/>
          <w:highlight w:val="none"/>
        </w:rPr>
      </w:pPr>
      <w:r>
        <w:rPr>
          <w:rFonts w:hint="eastAsia"/>
          <w:color w:val="auto"/>
          <w:highlight w:val="none"/>
          <w:lang w:eastAsia="zh-Hans"/>
        </w:rPr>
        <w:t>（五）</w:t>
      </w:r>
      <w:r>
        <w:rPr>
          <w:color w:val="auto"/>
          <w:highlight w:val="none"/>
          <w:lang w:eastAsia="zh-Hans"/>
        </w:rPr>
        <w:t>建立信息报送机制</w:t>
      </w:r>
      <w:r>
        <w:rPr>
          <w:rFonts w:hint="eastAsia"/>
          <w:color w:val="auto"/>
          <w:highlight w:val="none"/>
        </w:rPr>
        <w:t>，定期向相关主管部门报送机构履职及业务开展情况；</w:t>
      </w:r>
    </w:p>
    <w:p>
      <w:pPr>
        <w:ind w:firstLine="632"/>
        <w:jc w:val="left"/>
        <w:rPr>
          <w:rFonts w:cs="宋体"/>
          <w:color w:val="auto"/>
          <w:highlight w:val="none"/>
          <w:lang w:eastAsia="zh-Hans"/>
        </w:rPr>
      </w:pPr>
      <w:r>
        <w:rPr>
          <w:rFonts w:hint="eastAsia" w:cs="宋体"/>
          <w:color w:val="auto"/>
          <w:highlight w:val="none"/>
          <w:lang w:eastAsia="zh-Hans"/>
        </w:rPr>
        <w:t>（</w:t>
      </w:r>
      <w:r>
        <w:rPr>
          <w:rFonts w:hint="eastAsia" w:cs="宋体"/>
          <w:color w:val="auto"/>
          <w:highlight w:val="none"/>
        </w:rPr>
        <w:t>六</w:t>
      </w:r>
      <w:r>
        <w:rPr>
          <w:rFonts w:hint="eastAsia" w:cs="宋体"/>
          <w:color w:val="auto"/>
          <w:highlight w:val="none"/>
          <w:lang w:eastAsia="zh-Hans"/>
        </w:rPr>
        <w:t>）依法依规建立数据交易安全</w:t>
      </w:r>
      <w:r>
        <w:rPr>
          <w:rFonts w:hint="eastAsia" w:cs="宋体"/>
          <w:color w:val="auto"/>
          <w:highlight w:val="none"/>
        </w:rPr>
        <w:t>管理</w:t>
      </w:r>
      <w:r>
        <w:rPr>
          <w:rFonts w:hint="eastAsia" w:cs="宋体"/>
          <w:color w:val="auto"/>
          <w:highlight w:val="none"/>
          <w:lang w:eastAsia="zh-Hans"/>
        </w:rPr>
        <w:t>体系。</w:t>
      </w:r>
    </w:p>
    <w:p>
      <w:pPr>
        <w:tabs>
          <w:tab w:val="left" w:pos="0"/>
        </w:tabs>
        <w:ind w:firstLine="632" w:firstLineChars="0"/>
        <w:jc w:val="left"/>
        <w:rPr>
          <w:color w:val="auto"/>
          <w:highlight w:val="none"/>
        </w:rPr>
      </w:pPr>
      <w:r>
        <w:rPr>
          <w:rFonts w:hint="eastAsia" w:ascii="黑体" w:hAnsi="黑体" w:eastAsia="黑体" w:cs="黑体"/>
          <w:color w:val="auto"/>
          <w:highlight w:val="none"/>
          <w:lang w:eastAsia="zh-Hans"/>
        </w:rPr>
        <w:t>第十</w:t>
      </w:r>
      <w:r>
        <w:rPr>
          <w:rFonts w:hint="eastAsia" w:ascii="黑体" w:hAnsi="黑体" w:eastAsia="黑体" w:cs="黑体"/>
          <w:color w:val="auto"/>
          <w:highlight w:val="none"/>
          <w:lang w:val="en-US" w:eastAsia="zh-CN"/>
        </w:rPr>
        <w:t>一</w:t>
      </w:r>
      <w:r>
        <w:rPr>
          <w:rFonts w:hint="eastAsia" w:ascii="黑体" w:hAnsi="黑体" w:eastAsia="黑体" w:cs="黑体"/>
          <w:color w:val="auto"/>
          <w:highlight w:val="none"/>
          <w:lang w:eastAsia="zh-Hans"/>
        </w:rPr>
        <w:t>条（数据交易平台要求）</w:t>
      </w:r>
      <w:r>
        <w:rPr>
          <w:color w:val="auto"/>
          <w:highlight w:val="none"/>
          <w:lang w:eastAsia="zh-Hans"/>
        </w:rPr>
        <w:t>数据交易平台</w:t>
      </w:r>
      <w:r>
        <w:rPr>
          <w:rFonts w:hint="eastAsia"/>
          <w:color w:val="auto"/>
          <w:highlight w:val="none"/>
          <w:lang w:eastAsia="zh-Hans"/>
        </w:rPr>
        <w:t>应当满足以下要求：</w:t>
      </w:r>
    </w:p>
    <w:p>
      <w:pPr>
        <w:ind w:firstLine="632"/>
        <w:rPr>
          <w:color w:val="auto"/>
          <w:highlight w:val="none"/>
          <w:lang w:eastAsia="zh-Hans"/>
        </w:rPr>
      </w:pPr>
      <w:r>
        <w:rPr>
          <w:rFonts w:hint="eastAsia"/>
          <w:color w:val="auto"/>
          <w:highlight w:val="none"/>
          <w:lang w:eastAsia="zh-Hans"/>
        </w:rPr>
        <w:t>（一）提供用户注册、验证、登录等功能，并</w:t>
      </w:r>
      <w:r>
        <w:rPr>
          <w:rFonts w:hint="eastAsia"/>
          <w:color w:val="auto"/>
          <w:highlight w:val="none"/>
        </w:rPr>
        <w:t>对用户</w:t>
      </w:r>
      <w:r>
        <w:rPr>
          <w:rFonts w:hint="eastAsia"/>
          <w:color w:val="auto"/>
          <w:highlight w:val="none"/>
          <w:lang w:eastAsia="zh-Hans"/>
        </w:rPr>
        <w:t>进行权限管理和访问控制等；</w:t>
      </w:r>
    </w:p>
    <w:p>
      <w:pPr>
        <w:ind w:firstLine="632"/>
        <w:rPr>
          <w:color w:val="auto"/>
          <w:highlight w:val="none"/>
          <w:lang w:eastAsia="zh-Hans"/>
        </w:rPr>
      </w:pPr>
      <w:r>
        <w:rPr>
          <w:rFonts w:hint="eastAsia"/>
          <w:color w:val="auto"/>
          <w:highlight w:val="none"/>
          <w:lang w:eastAsia="zh-Hans"/>
        </w:rPr>
        <w:t>（</w:t>
      </w:r>
      <w:r>
        <w:rPr>
          <w:rFonts w:hint="eastAsia"/>
          <w:color w:val="auto"/>
          <w:highlight w:val="none"/>
          <w:lang w:val="en-US" w:eastAsia="zh-CN"/>
        </w:rPr>
        <w:t>二</w:t>
      </w:r>
      <w:r>
        <w:rPr>
          <w:rFonts w:hint="eastAsia"/>
          <w:color w:val="auto"/>
          <w:highlight w:val="none"/>
          <w:lang w:eastAsia="zh-Hans"/>
        </w:rPr>
        <w:t>）提供检索、样本数据试用等功能，以及需求发布功能；</w:t>
      </w:r>
    </w:p>
    <w:p>
      <w:pPr>
        <w:ind w:firstLine="632"/>
        <w:rPr>
          <w:color w:val="auto"/>
          <w:highlight w:val="none"/>
        </w:rPr>
      </w:pPr>
      <w:r>
        <w:rPr>
          <w:rFonts w:hint="eastAsia"/>
          <w:color w:val="auto"/>
          <w:highlight w:val="none"/>
          <w:lang w:eastAsia="zh-Hans"/>
        </w:rPr>
        <w:t>（</w:t>
      </w:r>
      <w:r>
        <w:rPr>
          <w:rFonts w:hint="eastAsia"/>
          <w:color w:val="auto"/>
          <w:highlight w:val="none"/>
          <w:lang w:val="en-US" w:eastAsia="zh-CN"/>
        </w:rPr>
        <w:t>三</w:t>
      </w:r>
      <w:r>
        <w:rPr>
          <w:rFonts w:hint="eastAsia"/>
          <w:color w:val="auto"/>
          <w:highlight w:val="none"/>
          <w:lang w:eastAsia="zh-Hans"/>
        </w:rPr>
        <w:t>）</w:t>
      </w:r>
      <w:r>
        <w:rPr>
          <w:rFonts w:hint="eastAsia"/>
          <w:color w:val="auto"/>
          <w:highlight w:val="none"/>
        </w:rPr>
        <w:t>如数据交易平台提供数据交付功能，应当</w:t>
      </w:r>
      <w:r>
        <w:rPr>
          <w:rFonts w:hint="eastAsia"/>
          <w:color w:val="auto"/>
          <w:highlight w:val="none"/>
          <w:lang w:eastAsia="zh-Hans"/>
        </w:rPr>
        <w:t>提供安全</w:t>
      </w:r>
      <w:r>
        <w:rPr>
          <w:rFonts w:hint="eastAsia"/>
          <w:color w:val="auto"/>
          <w:highlight w:val="none"/>
        </w:rPr>
        <w:t>稳定</w:t>
      </w:r>
      <w:r>
        <w:rPr>
          <w:rFonts w:hint="eastAsia"/>
          <w:color w:val="auto"/>
          <w:highlight w:val="none"/>
          <w:lang w:eastAsia="zh-Hans"/>
        </w:rPr>
        <w:t>的</w:t>
      </w:r>
      <w:r>
        <w:rPr>
          <w:rFonts w:hint="eastAsia"/>
          <w:color w:val="auto"/>
          <w:highlight w:val="none"/>
        </w:rPr>
        <w:t>数据</w:t>
      </w:r>
      <w:r>
        <w:rPr>
          <w:rFonts w:hint="eastAsia"/>
          <w:color w:val="auto"/>
          <w:highlight w:val="none"/>
          <w:lang w:eastAsia="zh-Hans"/>
        </w:rPr>
        <w:t>交付环境</w:t>
      </w:r>
      <w:r>
        <w:rPr>
          <w:rFonts w:hint="eastAsia"/>
          <w:color w:val="auto"/>
          <w:highlight w:val="none"/>
        </w:rPr>
        <w:t>。</w:t>
      </w:r>
    </w:p>
    <w:p>
      <w:pPr>
        <w:tabs>
          <w:tab w:val="left" w:pos="0"/>
        </w:tabs>
        <w:ind w:firstLine="632" w:firstLineChars="0"/>
        <w:jc w:val="left"/>
        <w:rPr>
          <w:color w:val="auto"/>
          <w:highlight w:val="none"/>
          <w:lang w:eastAsia="zh-Hans"/>
        </w:rPr>
      </w:pPr>
      <w:r>
        <w:rPr>
          <w:rFonts w:hint="eastAsia" w:ascii="黑体" w:hAnsi="黑体" w:eastAsia="黑体" w:cs="黑体"/>
          <w:color w:val="auto"/>
          <w:highlight w:val="none"/>
          <w:lang w:eastAsia="zh-Hans"/>
        </w:rPr>
        <w:t>第十</w:t>
      </w:r>
      <w:r>
        <w:rPr>
          <w:rFonts w:hint="eastAsia" w:ascii="黑体" w:hAnsi="黑体" w:eastAsia="黑体" w:cs="黑体"/>
          <w:color w:val="auto"/>
          <w:highlight w:val="none"/>
          <w:lang w:val="en-US" w:eastAsia="zh-CN"/>
        </w:rPr>
        <w:t>二</w:t>
      </w:r>
      <w:r>
        <w:rPr>
          <w:rFonts w:hint="eastAsia" w:ascii="黑体" w:hAnsi="黑体" w:eastAsia="黑体" w:cs="黑体"/>
          <w:color w:val="auto"/>
          <w:highlight w:val="none"/>
          <w:lang w:eastAsia="zh-Hans"/>
        </w:rPr>
        <w:t>条（终止要求）</w:t>
      </w:r>
      <w:r>
        <w:rPr>
          <w:rFonts w:hint="eastAsia"/>
          <w:color w:val="auto"/>
          <w:highlight w:val="none"/>
          <w:lang w:eastAsia="zh-Hans"/>
        </w:rPr>
        <w:t>数据交易机构拟终止提供数据交易服务的，应当提前</w:t>
      </w:r>
      <w:r>
        <w:rPr>
          <w:rFonts w:ascii="Times New Roman Regular" w:hAnsi="Times New Roman Regular" w:cs="Times New Roman Regular"/>
          <w:color w:val="auto"/>
          <w:highlight w:val="none"/>
          <w:lang w:eastAsia="zh-Hans"/>
        </w:rPr>
        <w:t>30</w:t>
      </w:r>
      <w:r>
        <w:rPr>
          <w:rFonts w:hint="eastAsia" w:ascii="Times New Roman Regular" w:hAnsi="Times New Roman Regular" w:cs="Times New Roman Regular"/>
          <w:color w:val="auto"/>
          <w:highlight w:val="none"/>
          <w:lang w:eastAsia="zh-Hans"/>
        </w:rPr>
        <w:t>日</w:t>
      </w:r>
      <w:r>
        <w:rPr>
          <w:rFonts w:hint="eastAsia"/>
          <w:color w:val="auto"/>
          <w:highlight w:val="none"/>
          <w:lang w:eastAsia="zh-Hans"/>
        </w:rPr>
        <w:t>向市数据主管部门报告并在其数据交易平台首页显著位置，持续公示退出公告及方案，及时通知数据交易主体及其他相关主体，并采取合理、必要、及时的措施保障数据交易主体的合法权益。</w:t>
      </w:r>
    </w:p>
    <w:p>
      <w:pPr>
        <w:tabs>
          <w:tab w:val="left" w:pos="0"/>
        </w:tabs>
        <w:ind w:firstLine="632" w:firstLineChars="0"/>
        <w:jc w:val="left"/>
        <w:rPr>
          <w:color w:val="auto"/>
          <w:highlight w:val="none"/>
          <w:lang w:eastAsia="zh-Hans"/>
        </w:rPr>
      </w:pPr>
      <w:r>
        <w:rPr>
          <w:rFonts w:hint="eastAsia" w:ascii="黑体" w:hAnsi="黑体" w:eastAsia="黑体" w:cs="黑体"/>
          <w:color w:val="auto"/>
          <w:highlight w:val="none"/>
          <w:lang w:eastAsia="zh-Hans"/>
        </w:rPr>
        <w:t>第十</w:t>
      </w:r>
      <w:r>
        <w:rPr>
          <w:rFonts w:hint="eastAsia" w:ascii="黑体" w:hAnsi="黑体" w:eastAsia="黑体" w:cs="黑体"/>
          <w:color w:val="auto"/>
          <w:highlight w:val="none"/>
          <w:lang w:val="en-US" w:eastAsia="zh-CN"/>
        </w:rPr>
        <w:t>三</w:t>
      </w:r>
      <w:r>
        <w:rPr>
          <w:rFonts w:hint="eastAsia" w:ascii="黑体" w:hAnsi="黑体" w:eastAsia="黑体" w:cs="黑体"/>
          <w:color w:val="auto"/>
          <w:highlight w:val="none"/>
          <w:lang w:eastAsia="zh-Hans"/>
        </w:rPr>
        <w:t>条（机构禁止行为）</w:t>
      </w:r>
      <w:r>
        <w:rPr>
          <w:color w:val="auto"/>
          <w:highlight w:val="none"/>
          <w:lang w:eastAsia="zh-Hans"/>
        </w:rPr>
        <w:t>数据交易机构</w:t>
      </w:r>
      <w:r>
        <w:rPr>
          <w:rFonts w:hint="eastAsia"/>
          <w:color w:val="auto"/>
          <w:highlight w:val="none"/>
          <w:lang w:eastAsia="zh-Hans"/>
        </w:rPr>
        <w:t>开展经营活动不得从事下列活动：</w:t>
      </w:r>
    </w:p>
    <w:p>
      <w:pPr>
        <w:ind w:firstLine="632"/>
        <w:jc w:val="left"/>
        <w:rPr>
          <w:color w:val="auto"/>
          <w:highlight w:val="none"/>
        </w:rPr>
      </w:pPr>
      <w:r>
        <w:rPr>
          <w:color w:val="auto"/>
          <w:highlight w:val="none"/>
        </w:rPr>
        <w:t>（一）</w:t>
      </w:r>
      <w:r>
        <w:rPr>
          <w:rFonts w:hint="eastAsia"/>
          <w:color w:val="auto"/>
          <w:highlight w:val="none"/>
          <w:lang w:val="en-US" w:eastAsia="zh-CN"/>
        </w:rPr>
        <w:t>采取集中竞价、做市商等集中交易方式进行交易；</w:t>
      </w:r>
    </w:p>
    <w:p>
      <w:pPr>
        <w:ind w:firstLine="632"/>
        <w:jc w:val="left"/>
        <w:rPr>
          <w:color w:val="auto"/>
          <w:highlight w:val="none"/>
        </w:rPr>
      </w:pPr>
      <w:r>
        <w:rPr>
          <w:rFonts w:hint="eastAsia"/>
          <w:color w:val="auto"/>
          <w:highlight w:val="none"/>
          <w:lang w:eastAsia="zh-CN"/>
        </w:rPr>
        <w:t>（</w:t>
      </w:r>
      <w:r>
        <w:rPr>
          <w:rFonts w:hint="eastAsia"/>
          <w:color w:val="auto"/>
          <w:highlight w:val="none"/>
          <w:lang w:val="en-US" w:eastAsia="zh-CN"/>
        </w:rPr>
        <w:t>二</w:t>
      </w:r>
      <w:r>
        <w:rPr>
          <w:rFonts w:hint="eastAsia"/>
          <w:color w:val="auto"/>
          <w:highlight w:val="none"/>
          <w:lang w:eastAsia="zh-CN"/>
        </w:rPr>
        <w:t>）</w:t>
      </w:r>
      <w:r>
        <w:rPr>
          <w:color w:val="auto"/>
          <w:highlight w:val="none"/>
        </w:rPr>
        <w:t>未经</w:t>
      </w:r>
      <w:r>
        <w:rPr>
          <w:rFonts w:hint="eastAsia"/>
          <w:color w:val="auto"/>
          <w:highlight w:val="none"/>
          <w:lang w:eastAsia="zh-Hans"/>
        </w:rPr>
        <w:t>数据</w:t>
      </w:r>
      <w:r>
        <w:rPr>
          <w:color w:val="auto"/>
          <w:highlight w:val="none"/>
        </w:rPr>
        <w:t>交易主体委托、违背</w:t>
      </w:r>
      <w:r>
        <w:rPr>
          <w:color w:val="auto"/>
          <w:highlight w:val="none"/>
          <w:lang w:eastAsia="zh-Hans"/>
        </w:rPr>
        <w:t>数据</w:t>
      </w:r>
      <w:r>
        <w:rPr>
          <w:color w:val="auto"/>
          <w:highlight w:val="none"/>
        </w:rPr>
        <w:t>交易主体意愿、假借</w:t>
      </w:r>
      <w:r>
        <w:rPr>
          <w:color w:val="auto"/>
          <w:highlight w:val="none"/>
          <w:lang w:eastAsia="zh-Hans"/>
        </w:rPr>
        <w:t>数据</w:t>
      </w:r>
      <w:r>
        <w:rPr>
          <w:color w:val="auto"/>
          <w:highlight w:val="none"/>
        </w:rPr>
        <w:t>交易主体名义开展交易活动；</w:t>
      </w:r>
    </w:p>
    <w:p>
      <w:pPr>
        <w:ind w:firstLine="632"/>
        <w:jc w:val="left"/>
        <w:rPr>
          <w:color w:val="auto"/>
          <w:highlight w:val="none"/>
        </w:rPr>
      </w:pPr>
      <w:r>
        <w:rPr>
          <w:color w:val="auto"/>
          <w:highlight w:val="none"/>
        </w:rPr>
        <w:t>（</w:t>
      </w:r>
      <w:r>
        <w:rPr>
          <w:rFonts w:hint="eastAsia"/>
          <w:color w:val="auto"/>
          <w:highlight w:val="none"/>
          <w:lang w:val="en-US" w:eastAsia="zh-CN"/>
        </w:rPr>
        <w:t>三</w:t>
      </w:r>
      <w:r>
        <w:rPr>
          <w:color w:val="auto"/>
          <w:highlight w:val="none"/>
        </w:rPr>
        <w:t>）为牟取佣金收入，诱使</w:t>
      </w:r>
      <w:r>
        <w:rPr>
          <w:rFonts w:hint="eastAsia"/>
          <w:color w:val="auto"/>
          <w:highlight w:val="none"/>
          <w:lang w:eastAsia="zh-Hans"/>
        </w:rPr>
        <w:t>数据</w:t>
      </w:r>
      <w:r>
        <w:rPr>
          <w:color w:val="auto"/>
          <w:highlight w:val="none"/>
        </w:rPr>
        <w:t>交易主体进行不必要的交易</w:t>
      </w:r>
      <w:r>
        <w:rPr>
          <w:rFonts w:hint="eastAsia"/>
          <w:color w:val="auto"/>
          <w:highlight w:val="none"/>
          <w:lang w:val="en-US" w:eastAsia="zh-CN"/>
        </w:rPr>
        <w:t>活动</w:t>
      </w:r>
      <w:r>
        <w:rPr>
          <w:color w:val="auto"/>
          <w:highlight w:val="none"/>
        </w:rPr>
        <w:t>；</w:t>
      </w:r>
    </w:p>
    <w:p>
      <w:pPr>
        <w:ind w:firstLine="632"/>
        <w:jc w:val="left"/>
        <w:rPr>
          <w:color w:val="auto"/>
          <w:highlight w:val="none"/>
        </w:rPr>
      </w:pPr>
      <w:r>
        <w:rPr>
          <w:color w:val="auto"/>
          <w:highlight w:val="none"/>
        </w:rPr>
        <w:t>（</w:t>
      </w:r>
      <w:r>
        <w:rPr>
          <w:rFonts w:hint="eastAsia"/>
          <w:color w:val="auto"/>
          <w:highlight w:val="none"/>
          <w:lang w:val="en-US" w:eastAsia="zh-CN"/>
        </w:rPr>
        <w:t>四</w:t>
      </w:r>
      <w:r>
        <w:rPr>
          <w:color w:val="auto"/>
          <w:highlight w:val="none"/>
        </w:rPr>
        <w:t>）提供、传播虚假或者误导</w:t>
      </w:r>
      <w:r>
        <w:rPr>
          <w:rFonts w:hint="eastAsia"/>
          <w:color w:val="auto"/>
          <w:highlight w:val="none"/>
          <w:lang w:eastAsia="zh-Hans"/>
        </w:rPr>
        <w:t>数据</w:t>
      </w:r>
      <w:r>
        <w:rPr>
          <w:color w:val="auto"/>
          <w:highlight w:val="none"/>
        </w:rPr>
        <w:t>交易主体的信息；</w:t>
      </w:r>
    </w:p>
    <w:p>
      <w:pPr>
        <w:ind w:firstLine="632"/>
        <w:jc w:val="left"/>
        <w:rPr>
          <w:color w:val="auto"/>
          <w:highlight w:val="none"/>
        </w:rPr>
      </w:pPr>
      <w:r>
        <w:rPr>
          <w:color w:val="auto"/>
          <w:highlight w:val="none"/>
        </w:rPr>
        <w:t>（</w:t>
      </w:r>
      <w:r>
        <w:rPr>
          <w:rFonts w:hint="eastAsia"/>
          <w:color w:val="auto"/>
          <w:highlight w:val="none"/>
          <w:lang w:val="en-US" w:eastAsia="zh-CN"/>
        </w:rPr>
        <w:t>五</w:t>
      </w:r>
      <w:r>
        <w:rPr>
          <w:color w:val="auto"/>
          <w:highlight w:val="none"/>
        </w:rPr>
        <w:t>）利用</w:t>
      </w:r>
      <w:r>
        <w:rPr>
          <w:rFonts w:hint="eastAsia"/>
          <w:color w:val="auto"/>
          <w:highlight w:val="none"/>
          <w:lang w:eastAsia="zh-Hans"/>
        </w:rPr>
        <w:t>数据</w:t>
      </w:r>
      <w:r>
        <w:rPr>
          <w:color w:val="auto"/>
          <w:highlight w:val="none"/>
        </w:rPr>
        <w:t>交易</w:t>
      </w:r>
      <w:r>
        <w:rPr>
          <w:rFonts w:hint="eastAsia"/>
          <w:color w:val="auto"/>
          <w:highlight w:val="none"/>
          <w:lang w:eastAsia="zh-Hans"/>
        </w:rPr>
        <w:t>平台</w:t>
      </w:r>
      <w:r>
        <w:rPr>
          <w:color w:val="auto"/>
          <w:highlight w:val="none"/>
        </w:rPr>
        <w:t>进行后台操纵；</w:t>
      </w:r>
    </w:p>
    <w:p>
      <w:pPr>
        <w:ind w:firstLine="632"/>
        <w:jc w:val="left"/>
        <w:rPr>
          <w:color w:val="auto"/>
          <w:highlight w:val="none"/>
        </w:rPr>
      </w:pPr>
      <w:r>
        <w:rPr>
          <w:color w:val="auto"/>
          <w:highlight w:val="none"/>
        </w:rPr>
        <w:t>（</w:t>
      </w:r>
      <w:r>
        <w:rPr>
          <w:rFonts w:hint="eastAsia"/>
          <w:color w:val="auto"/>
          <w:highlight w:val="none"/>
          <w:lang w:val="en-US" w:eastAsia="zh-CN"/>
        </w:rPr>
        <w:t>六</w:t>
      </w:r>
      <w:r>
        <w:rPr>
          <w:color w:val="auto"/>
          <w:highlight w:val="none"/>
        </w:rPr>
        <w:t>）其他违背</w:t>
      </w:r>
      <w:r>
        <w:rPr>
          <w:rFonts w:hint="eastAsia"/>
          <w:color w:val="auto"/>
          <w:highlight w:val="none"/>
          <w:lang w:eastAsia="zh-Hans"/>
        </w:rPr>
        <w:t>数据</w:t>
      </w:r>
      <w:r>
        <w:rPr>
          <w:color w:val="auto"/>
          <w:highlight w:val="none"/>
        </w:rPr>
        <w:t>交易主体真实意思表示或与交易主体利益相冲突的行为。</w:t>
      </w:r>
    </w:p>
    <w:p>
      <w:pPr>
        <w:ind w:firstLine="632"/>
        <w:jc w:val="center"/>
        <w:rPr>
          <w:color w:val="auto"/>
          <w:highlight w:val="none"/>
          <w:lang w:eastAsia="zh-Hans"/>
        </w:rPr>
      </w:pPr>
    </w:p>
    <w:p>
      <w:pPr>
        <w:widowControl/>
        <w:ind w:firstLine="0" w:firstLineChars="0"/>
        <w:jc w:val="center"/>
        <w:outlineLvl w:val="0"/>
        <w:rPr>
          <w:rFonts w:ascii="宋体" w:hAnsi="宋体" w:eastAsia="黑体" w:cs="宋体"/>
          <w:bCs/>
          <w:color w:val="auto"/>
          <w:kern w:val="36"/>
          <w:szCs w:val="48"/>
          <w:highlight w:val="none"/>
        </w:rPr>
      </w:pPr>
      <w:bookmarkStart w:id="4" w:name="_Toc52848973"/>
      <w:r>
        <w:rPr>
          <w:rFonts w:hint="eastAsia" w:ascii="宋体" w:hAnsi="宋体" w:eastAsia="黑体" w:cs="宋体"/>
          <w:bCs/>
          <w:color w:val="auto"/>
          <w:kern w:val="36"/>
          <w:szCs w:val="48"/>
          <w:highlight w:val="none"/>
          <w:lang w:eastAsia="zh-Hans"/>
        </w:rPr>
        <w:t xml:space="preserve">第三章 </w:t>
      </w:r>
      <w:r>
        <w:rPr>
          <w:rFonts w:hint="eastAsia" w:ascii="宋体" w:hAnsi="宋体" w:eastAsia="黑体" w:cs="宋体"/>
          <w:bCs/>
          <w:color w:val="auto"/>
          <w:kern w:val="36"/>
          <w:szCs w:val="48"/>
          <w:highlight w:val="none"/>
        </w:rPr>
        <w:t>交易主体</w:t>
      </w:r>
      <w:bookmarkEnd w:id="4"/>
    </w:p>
    <w:p>
      <w:pPr>
        <w:ind w:firstLine="632"/>
        <w:rPr>
          <w:color w:val="auto"/>
          <w:highlight w:val="none"/>
        </w:rPr>
      </w:pPr>
    </w:p>
    <w:p>
      <w:pPr>
        <w:tabs>
          <w:tab w:val="left" w:pos="0"/>
        </w:tabs>
        <w:ind w:firstLine="632" w:firstLineChars="0"/>
        <w:rPr>
          <w:rFonts w:hint="eastAsia"/>
          <w:color w:val="auto"/>
          <w:highlight w:val="yellow"/>
        </w:rPr>
      </w:pPr>
      <w:r>
        <w:rPr>
          <w:rFonts w:hint="eastAsia" w:ascii="黑体" w:hAnsi="黑体" w:eastAsia="黑体" w:cs="黑体"/>
          <w:color w:val="auto"/>
          <w:highlight w:val="none"/>
          <w:lang w:eastAsia="zh-Hans"/>
        </w:rPr>
        <w:t>第十</w:t>
      </w:r>
      <w:r>
        <w:rPr>
          <w:rFonts w:hint="eastAsia" w:ascii="黑体" w:hAnsi="黑体" w:eastAsia="黑体" w:cs="黑体"/>
          <w:color w:val="auto"/>
          <w:highlight w:val="none"/>
          <w:lang w:val="en-US" w:eastAsia="zh-CN"/>
        </w:rPr>
        <w:t>四</w:t>
      </w:r>
      <w:r>
        <w:rPr>
          <w:rFonts w:hint="eastAsia" w:ascii="黑体" w:hAnsi="黑体" w:eastAsia="黑体" w:cs="黑体"/>
          <w:color w:val="auto"/>
          <w:highlight w:val="none"/>
          <w:lang w:eastAsia="zh-Hans"/>
        </w:rPr>
        <w:t>条（交易主体类型）</w:t>
      </w:r>
      <w:r>
        <w:rPr>
          <w:rFonts w:hint="eastAsia"/>
          <w:color w:val="auto"/>
          <w:highlight w:val="none"/>
        </w:rPr>
        <w:t>数据交易主体包括数据</w:t>
      </w:r>
      <w:r>
        <w:rPr>
          <w:rFonts w:hint="eastAsia"/>
          <w:color w:val="auto"/>
          <w:highlight w:val="none"/>
          <w:lang w:eastAsia="zh-Hans"/>
        </w:rPr>
        <w:t>供方</w:t>
      </w:r>
      <w:r>
        <w:rPr>
          <w:rFonts w:hint="eastAsia"/>
          <w:color w:val="auto"/>
          <w:highlight w:val="none"/>
        </w:rPr>
        <w:t>、数据</w:t>
      </w:r>
      <w:r>
        <w:rPr>
          <w:rFonts w:hint="eastAsia"/>
          <w:color w:val="auto"/>
          <w:highlight w:val="none"/>
          <w:lang w:eastAsia="zh-Hans"/>
        </w:rPr>
        <w:t>需方、</w:t>
      </w:r>
      <w:r>
        <w:rPr>
          <w:rFonts w:hint="eastAsia"/>
          <w:color w:val="auto"/>
          <w:highlight w:val="none"/>
        </w:rPr>
        <w:t>数据商</w:t>
      </w:r>
      <w:r>
        <w:rPr>
          <w:rFonts w:hint="eastAsia"/>
          <w:color w:val="auto"/>
          <w:highlight w:val="none"/>
          <w:lang w:eastAsia="zh-Hans"/>
        </w:rPr>
        <w:t>和第三方专业服务机构</w:t>
      </w:r>
      <w:r>
        <w:rPr>
          <w:rFonts w:hint="eastAsia"/>
          <w:color w:val="auto"/>
          <w:highlight w:val="none"/>
        </w:rPr>
        <w:t>。</w:t>
      </w:r>
      <w:r>
        <w:rPr>
          <w:rFonts w:hint="eastAsia"/>
          <w:color w:val="auto"/>
          <w:highlight w:val="none"/>
          <w:lang w:val="en-US" w:eastAsia="zh-CN"/>
        </w:rPr>
        <w:t>数据交易主体需</w:t>
      </w:r>
      <w:r>
        <w:rPr>
          <w:rFonts w:hint="eastAsia"/>
          <w:color w:val="auto"/>
          <w:highlight w:val="none"/>
        </w:rPr>
        <w:t>在数据交易机构注册并经审核通过</w:t>
      </w:r>
      <w:r>
        <w:rPr>
          <w:rFonts w:hint="eastAsia"/>
          <w:color w:val="auto"/>
          <w:highlight w:val="none"/>
          <w:lang w:eastAsia="zh-CN"/>
        </w:rPr>
        <w:t>。</w:t>
      </w:r>
    </w:p>
    <w:p>
      <w:pPr>
        <w:ind w:firstLine="632"/>
        <w:rPr>
          <w:color w:val="auto"/>
          <w:highlight w:val="none"/>
          <w:lang w:eastAsia="zh-Hans"/>
        </w:rPr>
      </w:pPr>
      <w:r>
        <w:rPr>
          <w:rFonts w:hint="eastAsia"/>
          <w:color w:val="auto"/>
          <w:highlight w:val="none"/>
          <w:lang w:eastAsia="zh-Hans"/>
        </w:rPr>
        <w:t>（一）</w:t>
      </w:r>
      <w:r>
        <w:rPr>
          <w:rFonts w:hint="eastAsia"/>
          <w:color w:val="auto"/>
          <w:highlight w:val="none"/>
        </w:rPr>
        <w:t>数据供方</w:t>
      </w:r>
      <w:r>
        <w:rPr>
          <w:rFonts w:hint="eastAsia"/>
          <w:color w:val="auto"/>
          <w:highlight w:val="none"/>
          <w:lang w:eastAsia="zh-Hans"/>
        </w:rPr>
        <w:t>，</w:t>
      </w:r>
      <w:r>
        <w:rPr>
          <w:rFonts w:hint="eastAsia"/>
          <w:color w:val="auto"/>
          <w:highlight w:val="none"/>
        </w:rPr>
        <w:t>是指在数据交易</w:t>
      </w:r>
      <w:r>
        <w:rPr>
          <w:rFonts w:hint="eastAsia"/>
          <w:color w:val="auto"/>
          <w:highlight w:val="none"/>
          <w:lang w:eastAsia="zh-Hans"/>
        </w:rPr>
        <w:t>机构</w:t>
      </w:r>
      <w:r>
        <w:rPr>
          <w:rFonts w:hint="eastAsia"/>
          <w:color w:val="auto"/>
          <w:highlight w:val="none"/>
        </w:rPr>
        <w:t>内出售</w:t>
      </w:r>
      <w:r>
        <w:rPr>
          <w:rFonts w:hint="eastAsia"/>
          <w:color w:val="auto"/>
          <w:highlight w:val="none"/>
          <w:lang w:eastAsia="zh-Hans"/>
        </w:rPr>
        <w:t>交易标的</w:t>
      </w:r>
      <w:r>
        <w:rPr>
          <w:rFonts w:hint="eastAsia"/>
          <w:color w:val="auto"/>
          <w:highlight w:val="none"/>
        </w:rPr>
        <w:t>的</w:t>
      </w:r>
      <w:r>
        <w:rPr>
          <w:rFonts w:hint="eastAsia"/>
          <w:color w:val="auto"/>
          <w:highlight w:val="none"/>
          <w:lang w:eastAsia="zh-Hans"/>
        </w:rPr>
        <w:t>自然人</w:t>
      </w:r>
      <w:r>
        <w:rPr>
          <w:color w:val="auto"/>
          <w:highlight w:val="none"/>
        </w:rPr>
        <w:t>、法人</w:t>
      </w:r>
      <w:r>
        <w:rPr>
          <w:rFonts w:hint="eastAsia"/>
          <w:color w:val="auto"/>
          <w:highlight w:val="none"/>
          <w:lang w:eastAsia="zh-Hans"/>
        </w:rPr>
        <w:t>或者非法人</w:t>
      </w:r>
      <w:r>
        <w:rPr>
          <w:color w:val="auto"/>
          <w:highlight w:val="none"/>
        </w:rPr>
        <w:t>组织</w:t>
      </w:r>
      <w:r>
        <w:rPr>
          <w:rFonts w:hint="eastAsia"/>
          <w:color w:val="auto"/>
          <w:highlight w:val="none"/>
          <w:lang w:eastAsia="zh-Hans"/>
        </w:rPr>
        <w:t>。</w:t>
      </w:r>
    </w:p>
    <w:p>
      <w:pPr>
        <w:ind w:firstLine="632"/>
        <w:rPr>
          <w:color w:val="auto"/>
          <w:highlight w:val="none"/>
        </w:rPr>
      </w:pPr>
      <w:r>
        <w:rPr>
          <w:rFonts w:hint="eastAsia"/>
          <w:color w:val="auto"/>
          <w:highlight w:val="none"/>
          <w:lang w:eastAsia="zh-Hans"/>
        </w:rPr>
        <w:t>（二）</w:t>
      </w:r>
      <w:r>
        <w:rPr>
          <w:rFonts w:hint="eastAsia"/>
          <w:color w:val="auto"/>
          <w:highlight w:val="none"/>
        </w:rPr>
        <w:t>数据需方</w:t>
      </w:r>
      <w:r>
        <w:rPr>
          <w:rFonts w:hint="eastAsia"/>
          <w:color w:val="auto"/>
          <w:highlight w:val="none"/>
          <w:lang w:eastAsia="zh-Hans"/>
        </w:rPr>
        <w:t>，</w:t>
      </w:r>
      <w:r>
        <w:rPr>
          <w:rFonts w:hint="eastAsia"/>
          <w:color w:val="auto"/>
          <w:highlight w:val="none"/>
        </w:rPr>
        <w:t>是指在数据交易</w:t>
      </w:r>
      <w:r>
        <w:rPr>
          <w:rFonts w:hint="eastAsia"/>
          <w:color w:val="auto"/>
          <w:highlight w:val="none"/>
          <w:lang w:eastAsia="zh-Hans"/>
        </w:rPr>
        <w:t>机构</w:t>
      </w:r>
      <w:r>
        <w:rPr>
          <w:rFonts w:hint="eastAsia"/>
          <w:color w:val="auto"/>
          <w:highlight w:val="none"/>
        </w:rPr>
        <w:t>内购买</w:t>
      </w:r>
      <w:r>
        <w:rPr>
          <w:rFonts w:hint="eastAsia"/>
          <w:color w:val="auto"/>
          <w:highlight w:val="none"/>
          <w:lang w:eastAsia="zh-Hans"/>
        </w:rPr>
        <w:t>交易标的</w:t>
      </w:r>
      <w:r>
        <w:rPr>
          <w:rFonts w:hint="eastAsia"/>
          <w:color w:val="auto"/>
          <w:highlight w:val="none"/>
        </w:rPr>
        <w:t>的</w:t>
      </w:r>
      <w:r>
        <w:rPr>
          <w:color w:val="auto"/>
          <w:highlight w:val="none"/>
          <w:lang w:eastAsia="zh-Hans"/>
        </w:rPr>
        <w:t>自然人</w:t>
      </w:r>
      <w:r>
        <w:rPr>
          <w:color w:val="auto"/>
          <w:highlight w:val="none"/>
        </w:rPr>
        <w:t>、法人</w:t>
      </w:r>
      <w:r>
        <w:rPr>
          <w:rFonts w:hint="eastAsia"/>
          <w:color w:val="auto"/>
          <w:highlight w:val="none"/>
          <w:lang w:eastAsia="zh-Hans"/>
        </w:rPr>
        <w:t>或者</w:t>
      </w:r>
      <w:r>
        <w:rPr>
          <w:color w:val="auto"/>
          <w:highlight w:val="none"/>
          <w:lang w:eastAsia="zh-Hans"/>
        </w:rPr>
        <w:t>非法人</w:t>
      </w:r>
      <w:r>
        <w:rPr>
          <w:color w:val="auto"/>
          <w:highlight w:val="none"/>
        </w:rPr>
        <w:t>组织。</w:t>
      </w:r>
    </w:p>
    <w:p>
      <w:pPr>
        <w:ind w:firstLine="632"/>
        <w:rPr>
          <w:rFonts w:hint="eastAsia"/>
          <w:color w:val="auto"/>
          <w:highlight w:val="yellow"/>
        </w:rPr>
      </w:pPr>
      <w:r>
        <w:rPr>
          <w:rFonts w:hint="eastAsia"/>
          <w:color w:val="auto"/>
          <w:highlight w:val="none"/>
          <w:lang w:eastAsia="zh-Hans"/>
        </w:rPr>
        <w:t>（三）数据商，</w:t>
      </w:r>
      <w:r>
        <w:rPr>
          <w:color w:val="auto"/>
          <w:highlight w:val="none"/>
        </w:rPr>
        <w:t>是指</w:t>
      </w:r>
      <w:r>
        <w:rPr>
          <w:rFonts w:hint="eastAsia"/>
          <w:color w:val="auto"/>
          <w:highlight w:val="none"/>
          <w:lang w:val="en-US" w:eastAsia="zh-CN"/>
        </w:rPr>
        <w:t>通过</w:t>
      </w:r>
      <w:r>
        <w:rPr>
          <w:rFonts w:hint="eastAsia"/>
          <w:color w:val="auto"/>
          <w:highlight w:val="none"/>
        </w:rPr>
        <w:t>合法</w:t>
      </w:r>
      <w:r>
        <w:rPr>
          <w:rFonts w:hint="eastAsia"/>
          <w:color w:val="auto"/>
          <w:highlight w:val="none"/>
          <w:lang w:val="en-US" w:eastAsia="zh-CN"/>
        </w:rPr>
        <w:t>合规途径获取</w:t>
      </w:r>
      <w:r>
        <w:rPr>
          <w:rFonts w:hint="eastAsia"/>
          <w:color w:val="auto"/>
          <w:highlight w:val="none"/>
        </w:rPr>
        <w:t>数据，经汇总、加工、分析等处理转化为交易标的，</w:t>
      </w:r>
      <w:r>
        <w:rPr>
          <w:rFonts w:hint="eastAsia"/>
          <w:color w:val="auto"/>
          <w:highlight w:val="none"/>
          <w:lang w:val="en-US" w:eastAsia="zh-CN"/>
        </w:rPr>
        <w:t>并作为数据供方</w:t>
      </w:r>
      <w:r>
        <w:rPr>
          <w:rFonts w:hint="eastAsia"/>
          <w:color w:val="auto"/>
          <w:highlight w:val="none"/>
        </w:rPr>
        <w:t>向</w:t>
      </w:r>
      <w:r>
        <w:rPr>
          <w:rFonts w:hint="eastAsia"/>
          <w:color w:val="auto"/>
          <w:highlight w:val="none"/>
          <w:lang w:val="en-US" w:eastAsia="zh-CN"/>
        </w:rPr>
        <w:t>数据需方</w:t>
      </w:r>
      <w:r>
        <w:rPr>
          <w:rFonts w:hint="eastAsia"/>
          <w:color w:val="auto"/>
          <w:highlight w:val="none"/>
        </w:rPr>
        <w:t>出售</w:t>
      </w:r>
      <w:r>
        <w:rPr>
          <w:rFonts w:hint="eastAsia"/>
          <w:color w:val="auto"/>
          <w:highlight w:val="none"/>
          <w:lang w:val="en-US" w:eastAsia="zh-CN"/>
        </w:rPr>
        <w:t>交易标的机构</w:t>
      </w:r>
      <w:r>
        <w:rPr>
          <w:rFonts w:hint="eastAsia"/>
          <w:color w:val="auto"/>
          <w:highlight w:val="none"/>
        </w:rPr>
        <w:t>；</w:t>
      </w:r>
      <w:r>
        <w:rPr>
          <w:rFonts w:hint="eastAsia"/>
          <w:color w:val="auto"/>
          <w:highlight w:val="none"/>
          <w:lang w:val="en-US" w:eastAsia="zh-CN"/>
        </w:rPr>
        <w:t>或</w:t>
      </w:r>
      <w:r>
        <w:rPr>
          <w:rFonts w:hint="default"/>
          <w:color w:val="auto"/>
          <w:highlight w:val="none"/>
          <w:lang w:val="en-US" w:eastAsia="zh-CN"/>
        </w:rPr>
        <w:t>为促进和达成数据交易</w:t>
      </w:r>
      <w:r>
        <w:rPr>
          <w:rFonts w:hint="eastAsia"/>
          <w:color w:val="auto"/>
          <w:highlight w:val="none"/>
          <w:lang w:val="en-US" w:eastAsia="zh-CN"/>
        </w:rPr>
        <w:t>，</w:t>
      </w:r>
      <w:r>
        <w:rPr>
          <w:color w:val="auto"/>
          <w:highlight w:val="none"/>
        </w:rPr>
        <w:t>为数据</w:t>
      </w:r>
      <w:r>
        <w:rPr>
          <w:rFonts w:hint="eastAsia"/>
          <w:color w:val="auto"/>
          <w:highlight w:val="none"/>
          <w:lang w:eastAsia="zh-Hans"/>
        </w:rPr>
        <w:t>交易</w:t>
      </w:r>
      <w:r>
        <w:rPr>
          <w:rFonts w:hint="default"/>
          <w:color w:val="auto"/>
          <w:highlight w:val="none"/>
          <w:lang w:val="en-US" w:eastAsia="zh-CN"/>
        </w:rPr>
        <w:t>双方</w:t>
      </w:r>
      <w:r>
        <w:rPr>
          <w:color w:val="auto"/>
          <w:highlight w:val="none"/>
        </w:rPr>
        <w:t>提供开发、发布、承销和数据资产的合规化、标准化、增值化等服务</w:t>
      </w:r>
      <w:r>
        <w:rPr>
          <w:rFonts w:hint="eastAsia"/>
          <w:color w:val="auto"/>
          <w:highlight w:val="none"/>
          <w:lang w:eastAsia="zh-Hans"/>
        </w:rPr>
        <w:t>的</w:t>
      </w:r>
      <w:r>
        <w:rPr>
          <w:color w:val="auto"/>
          <w:highlight w:val="none"/>
          <w:lang w:eastAsia="zh-Hans"/>
        </w:rPr>
        <w:t>机构</w:t>
      </w:r>
      <w:r>
        <w:rPr>
          <w:color w:val="auto"/>
          <w:highlight w:val="none"/>
        </w:rPr>
        <w:t>。</w:t>
      </w:r>
    </w:p>
    <w:p>
      <w:pPr>
        <w:ind w:firstLine="632"/>
        <w:rPr>
          <w:color w:val="auto"/>
          <w:highlight w:val="none"/>
        </w:rPr>
      </w:pPr>
      <w:r>
        <w:rPr>
          <w:rFonts w:hint="eastAsia"/>
          <w:color w:val="auto"/>
          <w:highlight w:val="none"/>
          <w:lang w:eastAsia="zh-Hans"/>
        </w:rPr>
        <w:t>（四）</w:t>
      </w:r>
      <w:r>
        <w:rPr>
          <w:color w:val="auto"/>
          <w:highlight w:val="none"/>
        </w:rPr>
        <w:t>第三方专业服务机构</w:t>
      </w:r>
      <w:r>
        <w:rPr>
          <w:rFonts w:hint="eastAsia"/>
          <w:color w:val="auto"/>
          <w:highlight w:val="none"/>
          <w:lang w:eastAsia="zh-Hans"/>
        </w:rPr>
        <w:t>，</w:t>
      </w:r>
      <w:r>
        <w:rPr>
          <w:color w:val="auto"/>
          <w:highlight w:val="none"/>
        </w:rPr>
        <w:t>是指提供数据集成、数据经纪、合规认证、安全审计、数据公证、数据保险、数据托管、资产评估、争议仲裁、风险评估、人才培训等专业服务的机构。</w:t>
      </w:r>
    </w:p>
    <w:p>
      <w:pPr>
        <w:tabs>
          <w:tab w:val="left" w:pos="0"/>
        </w:tabs>
        <w:ind w:firstLine="632" w:firstLineChars="0"/>
        <w:rPr>
          <w:color w:val="auto"/>
          <w:highlight w:val="none"/>
        </w:rPr>
      </w:pPr>
      <w:r>
        <w:rPr>
          <w:rFonts w:hint="eastAsia" w:ascii="黑体" w:hAnsi="黑体" w:eastAsia="黑体" w:cs="黑体"/>
          <w:color w:val="auto"/>
          <w:highlight w:val="none"/>
          <w:lang w:eastAsia="zh-Hans"/>
        </w:rPr>
        <w:t>第十</w:t>
      </w:r>
      <w:r>
        <w:rPr>
          <w:rFonts w:hint="eastAsia" w:ascii="黑体" w:hAnsi="黑体" w:eastAsia="黑体" w:cs="黑体"/>
          <w:color w:val="auto"/>
          <w:highlight w:val="none"/>
          <w:lang w:val="en-US" w:eastAsia="zh-CN"/>
        </w:rPr>
        <w:t>五</w:t>
      </w:r>
      <w:r>
        <w:rPr>
          <w:rFonts w:hint="eastAsia" w:ascii="黑体" w:hAnsi="黑体" w:eastAsia="黑体" w:cs="黑体"/>
          <w:color w:val="auto"/>
          <w:highlight w:val="none"/>
          <w:lang w:eastAsia="zh-Hans"/>
        </w:rPr>
        <w:t>条（数据供方要求）</w:t>
      </w:r>
      <w:r>
        <w:rPr>
          <w:rFonts w:hint="eastAsia"/>
          <w:color w:val="auto"/>
          <w:highlight w:val="none"/>
        </w:rPr>
        <w:t>数据供方应</w:t>
      </w:r>
      <w:r>
        <w:rPr>
          <w:rFonts w:hint="eastAsia"/>
          <w:color w:val="auto"/>
          <w:highlight w:val="none"/>
          <w:lang w:eastAsia="zh-Hans"/>
        </w:rPr>
        <w:t>当</w:t>
      </w:r>
      <w:r>
        <w:rPr>
          <w:rFonts w:hint="eastAsia"/>
          <w:color w:val="auto"/>
          <w:highlight w:val="none"/>
        </w:rPr>
        <w:t>符合下列要求</w:t>
      </w:r>
      <w:r>
        <w:rPr>
          <w:color w:val="auto"/>
          <w:highlight w:val="none"/>
        </w:rPr>
        <w:t>：</w:t>
      </w:r>
    </w:p>
    <w:p>
      <w:pPr>
        <w:ind w:firstLine="632"/>
        <w:rPr>
          <w:color w:val="auto"/>
          <w:highlight w:val="none"/>
        </w:rPr>
      </w:pPr>
      <w:r>
        <w:rPr>
          <w:color w:val="auto"/>
          <w:highlight w:val="none"/>
        </w:rPr>
        <w:t>（</w:t>
      </w:r>
      <w:r>
        <w:rPr>
          <w:rFonts w:hint="eastAsia"/>
          <w:color w:val="auto"/>
          <w:highlight w:val="none"/>
          <w:lang w:val="en-US" w:eastAsia="zh-CN"/>
        </w:rPr>
        <w:t>一</w:t>
      </w:r>
      <w:r>
        <w:rPr>
          <w:color w:val="auto"/>
          <w:highlight w:val="none"/>
        </w:rPr>
        <w:t>）提供交易标的来源说明</w:t>
      </w:r>
      <w:r>
        <w:rPr>
          <w:rFonts w:hint="eastAsia"/>
          <w:color w:val="auto"/>
          <w:highlight w:val="none"/>
          <w:lang w:eastAsia="zh-Hans"/>
        </w:rPr>
        <w:t>材料或依法依规获取的数据登记凭证</w:t>
      </w:r>
      <w:r>
        <w:rPr>
          <w:color w:val="auto"/>
          <w:highlight w:val="none"/>
        </w:rPr>
        <w:t>，保证数据</w:t>
      </w:r>
      <w:r>
        <w:rPr>
          <w:rFonts w:hint="eastAsia"/>
          <w:color w:val="auto"/>
          <w:highlight w:val="none"/>
        </w:rPr>
        <w:t>完整性、真实性、</w:t>
      </w:r>
      <w:r>
        <w:rPr>
          <w:color w:val="auto"/>
          <w:highlight w:val="none"/>
        </w:rPr>
        <w:t>合法性等；</w:t>
      </w:r>
    </w:p>
    <w:p>
      <w:pPr>
        <w:ind w:firstLine="632"/>
        <w:rPr>
          <w:color w:val="auto"/>
          <w:highlight w:val="none"/>
        </w:rPr>
      </w:pPr>
      <w:r>
        <w:rPr>
          <w:rFonts w:hint="eastAsia"/>
          <w:color w:val="auto"/>
          <w:highlight w:val="none"/>
          <w:lang w:eastAsia="zh-Hans"/>
        </w:rPr>
        <w:t>（</w:t>
      </w:r>
      <w:r>
        <w:rPr>
          <w:rFonts w:hint="eastAsia"/>
          <w:color w:val="auto"/>
          <w:highlight w:val="none"/>
          <w:lang w:val="en-US" w:eastAsia="zh-CN"/>
        </w:rPr>
        <w:t>二</w:t>
      </w:r>
      <w:r>
        <w:rPr>
          <w:rFonts w:hint="eastAsia"/>
          <w:color w:val="auto"/>
          <w:highlight w:val="none"/>
          <w:lang w:eastAsia="zh-Hans"/>
        </w:rPr>
        <w:t>）</w:t>
      </w:r>
      <w:r>
        <w:rPr>
          <w:rFonts w:hint="eastAsia"/>
          <w:color w:val="auto"/>
          <w:highlight w:val="none"/>
          <w:lang w:val="en-US" w:eastAsia="zh-CN"/>
        </w:rPr>
        <w:t>涉及重要数据的，应当对交易标的</w:t>
      </w:r>
      <w:r>
        <w:rPr>
          <w:color w:val="auto"/>
          <w:highlight w:val="none"/>
        </w:rPr>
        <w:t>进行安全风险评估</w:t>
      </w:r>
      <w:r>
        <w:rPr>
          <w:rFonts w:hint="eastAsia"/>
          <w:color w:val="auto"/>
          <w:highlight w:val="none"/>
          <w:lang w:val="en-US" w:eastAsia="zh-CN"/>
        </w:rPr>
        <w:t>并提供</w:t>
      </w:r>
      <w:r>
        <w:rPr>
          <w:color w:val="auto"/>
          <w:highlight w:val="none"/>
        </w:rPr>
        <w:t>安全风险评估报告</w:t>
      </w:r>
      <w:r>
        <w:rPr>
          <w:rFonts w:hint="eastAsia"/>
          <w:color w:val="auto"/>
          <w:highlight w:val="none"/>
          <w:lang w:eastAsia="zh-Hans"/>
        </w:rPr>
        <w:t>；</w:t>
      </w:r>
    </w:p>
    <w:p>
      <w:pPr>
        <w:ind w:firstLine="632"/>
        <w:rPr>
          <w:color w:val="auto"/>
          <w:highlight w:val="none"/>
        </w:rPr>
      </w:pPr>
      <w:r>
        <w:rPr>
          <w:color w:val="auto"/>
          <w:highlight w:val="none"/>
        </w:rPr>
        <w:t>（</w:t>
      </w:r>
      <w:r>
        <w:rPr>
          <w:rFonts w:hint="eastAsia"/>
          <w:color w:val="auto"/>
          <w:highlight w:val="none"/>
          <w:lang w:val="en-US" w:eastAsia="zh-CN"/>
        </w:rPr>
        <w:t>三</w:t>
      </w:r>
      <w:r>
        <w:rPr>
          <w:color w:val="auto"/>
          <w:highlight w:val="none"/>
        </w:rPr>
        <w:t>）</w:t>
      </w:r>
      <w:r>
        <w:rPr>
          <w:rFonts w:hint="eastAsia"/>
          <w:color w:val="auto"/>
          <w:highlight w:val="none"/>
          <w:lang w:eastAsia="zh-Hans"/>
        </w:rPr>
        <w:t>遵守</w:t>
      </w:r>
      <w:r>
        <w:rPr>
          <w:color w:val="auto"/>
          <w:highlight w:val="none"/>
          <w:lang w:eastAsia="zh-Hans"/>
        </w:rPr>
        <w:t>本市数据流通交易的各项制度</w:t>
      </w:r>
      <w:r>
        <w:rPr>
          <w:color w:val="auto"/>
          <w:highlight w:val="none"/>
        </w:rPr>
        <w:t>；</w:t>
      </w:r>
    </w:p>
    <w:p>
      <w:pPr>
        <w:ind w:firstLine="632"/>
        <w:rPr>
          <w:color w:val="auto"/>
          <w:highlight w:val="none"/>
        </w:rPr>
      </w:pPr>
      <w:r>
        <w:rPr>
          <w:color w:val="auto"/>
          <w:highlight w:val="none"/>
        </w:rPr>
        <w:t>（</w:t>
      </w:r>
      <w:r>
        <w:rPr>
          <w:rFonts w:hint="eastAsia"/>
          <w:color w:val="auto"/>
          <w:highlight w:val="none"/>
          <w:lang w:val="en-US" w:eastAsia="zh-CN"/>
        </w:rPr>
        <w:t>四</w:t>
      </w:r>
      <w:r>
        <w:rPr>
          <w:color w:val="auto"/>
          <w:highlight w:val="none"/>
        </w:rPr>
        <w:t>）</w:t>
      </w:r>
      <w:r>
        <w:rPr>
          <w:rFonts w:hint="eastAsia"/>
          <w:color w:val="auto"/>
          <w:highlight w:val="none"/>
        </w:rPr>
        <w:t>遵守法律、法规、规章规定的其他要求</w:t>
      </w:r>
      <w:r>
        <w:rPr>
          <w:color w:val="auto"/>
          <w:highlight w:val="none"/>
        </w:rPr>
        <w:t>。</w:t>
      </w:r>
    </w:p>
    <w:p>
      <w:pPr>
        <w:tabs>
          <w:tab w:val="left" w:pos="0"/>
        </w:tabs>
        <w:ind w:firstLine="632" w:firstLineChars="0"/>
        <w:rPr>
          <w:color w:val="auto"/>
          <w:highlight w:val="none"/>
        </w:rPr>
      </w:pPr>
      <w:r>
        <w:rPr>
          <w:rFonts w:hint="eastAsia" w:ascii="黑体" w:hAnsi="黑体" w:eastAsia="黑体" w:cs="黑体"/>
          <w:color w:val="auto"/>
          <w:highlight w:val="none"/>
          <w:lang w:eastAsia="zh-Hans"/>
        </w:rPr>
        <w:t>第十</w:t>
      </w:r>
      <w:r>
        <w:rPr>
          <w:rFonts w:hint="eastAsia" w:ascii="黑体" w:hAnsi="黑体" w:eastAsia="黑体" w:cs="黑体"/>
          <w:color w:val="auto"/>
          <w:highlight w:val="none"/>
          <w:lang w:val="en-US" w:eastAsia="zh-CN"/>
        </w:rPr>
        <w:t>六</w:t>
      </w:r>
      <w:r>
        <w:rPr>
          <w:rFonts w:hint="eastAsia" w:ascii="黑体" w:hAnsi="黑体" w:eastAsia="黑体" w:cs="黑体"/>
          <w:color w:val="auto"/>
          <w:highlight w:val="none"/>
          <w:lang w:eastAsia="zh-Hans"/>
        </w:rPr>
        <w:t>条（数据需方要求）</w:t>
      </w:r>
      <w:r>
        <w:rPr>
          <w:rFonts w:hint="eastAsia"/>
          <w:color w:val="auto"/>
          <w:highlight w:val="none"/>
        </w:rPr>
        <w:t>数据需方应</w:t>
      </w:r>
      <w:r>
        <w:rPr>
          <w:rFonts w:hint="eastAsia"/>
          <w:color w:val="auto"/>
          <w:highlight w:val="none"/>
          <w:lang w:eastAsia="zh-Hans"/>
        </w:rPr>
        <w:t>当</w:t>
      </w:r>
      <w:r>
        <w:rPr>
          <w:rFonts w:hint="eastAsia"/>
          <w:color w:val="auto"/>
          <w:highlight w:val="none"/>
        </w:rPr>
        <w:t>符合下列要求</w:t>
      </w:r>
      <w:r>
        <w:rPr>
          <w:color w:val="auto"/>
          <w:highlight w:val="none"/>
        </w:rPr>
        <w:t>：</w:t>
      </w:r>
    </w:p>
    <w:p>
      <w:pPr>
        <w:spacing w:line="240" w:lineRule="auto"/>
        <w:ind w:firstLine="632"/>
        <w:rPr>
          <w:color w:val="auto"/>
          <w:highlight w:val="none"/>
          <w:lang w:eastAsia="zh-Hans"/>
        </w:rPr>
      </w:pPr>
      <w:r>
        <w:rPr>
          <w:color w:val="auto"/>
          <w:highlight w:val="none"/>
        </w:rPr>
        <w:t>（</w:t>
      </w:r>
      <w:r>
        <w:rPr>
          <w:rFonts w:hint="eastAsia"/>
          <w:color w:val="auto"/>
          <w:highlight w:val="none"/>
          <w:lang w:val="en-US" w:eastAsia="zh-CN"/>
        </w:rPr>
        <w:t>一</w:t>
      </w:r>
      <w:r>
        <w:rPr>
          <w:color w:val="auto"/>
          <w:highlight w:val="none"/>
        </w:rPr>
        <w:t>）</w:t>
      </w:r>
      <w:r>
        <w:rPr>
          <w:rFonts w:hint="eastAsia"/>
          <w:color w:val="auto"/>
          <w:highlight w:val="none"/>
        </w:rPr>
        <w:t>数据</w:t>
      </w:r>
      <w:r>
        <w:rPr>
          <w:color w:val="auto"/>
          <w:highlight w:val="none"/>
        </w:rPr>
        <w:t>需方使用交易标的应</w:t>
      </w:r>
      <w:r>
        <w:rPr>
          <w:rFonts w:hint="eastAsia"/>
          <w:color w:val="auto"/>
          <w:highlight w:val="none"/>
        </w:rPr>
        <w:t>当</w:t>
      </w:r>
      <w:r>
        <w:rPr>
          <w:color w:val="auto"/>
          <w:highlight w:val="none"/>
        </w:rPr>
        <w:t>具有明确、合理的目的</w:t>
      </w:r>
      <w:r>
        <w:rPr>
          <w:rFonts w:hint="eastAsia"/>
          <w:color w:val="auto"/>
          <w:highlight w:val="none"/>
        </w:rPr>
        <w:t>，并按照数据供需双方约定使用交易标的</w:t>
      </w:r>
      <w:r>
        <w:rPr>
          <w:color w:val="auto"/>
          <w:highlight w:val="none"/>
        </w:rPr>
        <w:t>；</w:t>
      </w:r>
    </w:p>
    <w:p>
      <w:pPr>
        <w:spacing w:line="240" w:lineRule="auto"/>
        <w:ind w:firstLine="632"/>
        <w:rPr>
          <w:color w:val="auto"/>
          <w:highlight w:val="none"/>
        </w:rPr>
      </w:pPr>
      <w:r>
        <w:rPr>
          <w:rFonts w:hint="eastAsia"/>
          <w:color w:val="auto"/>
          <w:highlight w:val="none"/>
        </w:rPr>
        <w:t>（</w:t>
      </w:r>
      <w:r>
        <w:rPr>
          <w:rFonts w:hint="eastAsia"/>
          <w:color w:val="auto"/>
          <w:highlight w:val="none"/>
          <w:lang w:val="en-US" w:eastAsia="zh-CN"/>
        </w:rPr>
        <w:t>二</w:t>
      </w:r>
      <w:r>
        <w:rPr>
          <w:rFonts w:hint="eastAsia"/>
          <w:color w:val="auto"/>
          <w:highlight w:val="none"/>
        </w:rPr>
        <w:t>）具备对</w:t>
      </w:r>
      <w:r>
        <w:rPr>
          <w:color w:val="auto"/>
          <w:highlight w:val="none"/>
          <w:lang w:eastAsia="zh-Hans"/>
        </w:rPr>
        <w:t>交易标的</w:t>
      </w:r>
      <w:r>
        <w:rPr>
          <w:rFonts w:hint="eastAsia"/>
          <w:color w:val="auto"/>
          <w:highlight w:val="none"/>
        </w:rPr>
        <w:t>进行安全保护和应用的技术能力</w:t>
      </w:r>
      <w:r>
        <w:rPr>
          <w:color w:val="auto"/>
          <w:highlight w:val="none"/>
        </w:rPr>
        <w:t>；</w:t>
      </w:r>
    </w:p>
    <w:p>
      <w:pPr>
        <w:spacing w:line="240" w:lineRule="auto"/>
        <w:ind w:firstLine="632"/>
        <w:rPr>
          <w:color w:val="auto"/>
          <w:highlight w:val="none"/>
          <w:lang w:eastAsia="zh-Hans"/>
        </w:rPr>
      </w:pPr>
      <w:r>
        <w:rPr>
          <w:color w:val="auto"/>
          <w:highlight w:val="none"/>
        </w:rPr>
        <w:t>（</w:t>
      </w:r>
      <w:r>
        <w:rPr>
          <w:rFonts w:hint="eastAsia"/>
          <w:color w:val="auto"/>
          <w:highlight w:val="none"/>
          <w:lang w:val="en-US" w:eastAsia="zh-CN"/>
        </w:rPr>
        <w:t>三</w:t>
      </w:r>
      <w:r>
        <w:rPr>
          <w:color w:val="auto"/>
          <w:highlight w:val="none"/>
        </w:rPr>
        <w:t>）</w:t>
      </w:r>
      <w:r>
        <w:rPr>
          <w:rFonts w:hint="eastAsia"/>
          <w:color w:val="auto"/>
          <w:highlight w:val="none"/>
          <w:lang w:eastAsia="zh-Hans"/>
        </w:rPr>
        <w:t>遵守</w:t>
      </w:r>
      <w:r>
        <w:rPr>
          <w:color w:val="auto"/>
          <w:highlight w:val="none"/>
          <w:lang w:eastAsia="zh-Hans"/>
        </w:rPr>
        <w:t>本市数据流通交易的各项制度</w:t>
      </w:r>
      <w:r>
        <w:rPr>
          <w:rFonts w:hint="eastAsia"/>
          <w:color w:val="auto"/>
          <w:highlight w:val="none"/>
          <w:lang w:eastAsia="zh-Hans"/>
        </w:rPr>
        <w:t>；</w:t>
      </w:r>
    </w:p>
    <w:p>
      <w:pPr>
        <w:spacing w:line="240" w:lineRule="auto"/>
        <w:ind w:firstLine="632"/>
        <w:rPr>
          <w:rFonts w:hint="eastAsia"/>
          <w:color w:val="auto"/>
          <w:highlight w:val="none"/>
        </w:rPr>
      </w:pPr>
      <w:r>
        <w:rPr>
          <w:color w:val="auto"/>
          <w:highlight w:val="none"/>
        </w:rPr>
        <w:t>（</w:t>
      </w:r>
      <w:r>
        <w:rPr>
          <w:rFonts w:hint="eastAsia"/>
          <w:color w:val="auto"/>
          <w:highlight w:val="none"/>
          <w:lang w:val="en-US" w:eastAsia="zh-CN"/>
        </w:rPr>
        <w:t>四</w:t>
      </w:r>
      <w:r>
        <w:rPr>
          <w:color w:val="auto"/>
          <w:highlight w:val="none"/>
        </w:rPr>
        <w:t>）</w:t>
      </w:r>
      <w:r>
        <w:rPr>
          <w:rFonts w:hint="eastAsia"/>
          <w:color w:val="auto"/>
          <w:highlight w:val="none"/>
        </w:rPr>
        <w:t>遵守法律、法规、规章规定的其他要求。</w:t>
      </w:r>
    </w:p>
    <w:p>
      <w:pPr>
        <w:pStyle w:val="2"/>
        <w:ind w:firstLine="632"/>
        <w:rPr>
          <w:rFonts w:hint="eastAsia"/>
          <w:color w:val="auto"/>
          <w:highlight w:val="none"/>
          <w:lang w:val="en-US" w:eastAsia="zh-Hans"/>
        </w:rPr>
      </w:pPr>
      <w:r>
        <w:rPr>
          <w:rFonts w:hint="eastAsia" w:ascii="黑体" w:hAnsi="黑体" w:eastAsia="黑体" w:cs="黑体"/>
          <w:color w:val="auto"/>
          <w:highlight w:val="none"/>
          <w:lang w:eastAsia="zh-Hans"/>
        </w:rPr>
        <w:t>第十</w:t>
      </w:r>
      <w:r>
        <w:rPr>
          <w:rFonts w:hint="eastAsia" w:ascii="黑体" w:hAnsi="黑体" w:eastAsia="黑体" w:cs="黑体"/>
          <w:color w:val="auto"/>
          <w:highlight w:val="none"/>
          <w:lang w:val="en-US" w:eastAsia="zh-CN"/>
        </w:rPr>
        <w:t>七</w:t>
      </w:r>
      <w:r>
        <w:rPr>
          <w:rFonts w:hint="eastAsia" w:ascii="黑体" w:hAnsi="黑体" w:eastAsia="黑体" w:cs="黑体"/>
          <w:color w:val="auto"/>
          <w:highlight w:val="none"/>
          <w:lang w:eastAsia="zh-Hans"/>
        </w:rPr>
        <w:t>条（数据商</w:t>
      </w:r>
      <w:r>
        <w:rPr>
          <w:rFonts w:hint="default" w:ascii="黑体" w:hAnsi="黑体" w:eastAsia="黑体" w:cs="黑体"/>
          <w:color w:val="auto"/>
          <w:highlight w:val="none"/>
          <w:lang w:val="en-US" w:eastAsia="zh-CN"/>
        </w:rPr>
        <w:t>要求</w:t>
      </w:r>
      <w:r>
        <w:rPr>
          <w:rFonts w:hint="eastAsia" w:ascii="黑体" w:hAnsi="黑体" w:eastAsia="黑体" w:cs="黑体"/>
          <w:color w:val="auto"/>
          <w:highlight w:val="none"/>
          <w:lang w:eastAsia="zh-Hans"/>
        </w:rPr>
        <w:t>）</w:t>
      </w:r>
      <w:r>
        <w:rPr>
          <w:rFonts w:hint="default"/>
          <w:lang w:val="en-US" w:eastAsia="zh-Hans"/>
        </w:rPr>
        <w:t>本市支持数据商有序发展</w:t>
      </w:r>
      <w:r>
        <w:rPr>
          <w:rFonts w:hint="eastAsia"/>
          <w:lang w:val="en-US" w:eastAsia="zh-CN"/>
        </w:rPr>
        <w:t>，鼓励各种所有制数据商公平竞争、共同发展。数据商开展</w:t>
      </w:r>
      <w:r>
        <w:rPr>
          <w:rFonts w:hint="eastAsia"/>
          <w:color w:val="auto"/>
          <w:highlight w:val="none"/>
          <w:lang w:val="en-US" w:eastAsia="zh-Hans"/>
        </w:rPr>
        <w:t>数据交易服务的，应当符合下列要求：</w:t>
      </w:r>
    </w:p>
    <w:p>
      <w:pPr>
        <w:ind w:firstLine="632"/>
        <w:rPr>
          <w:rFonts w:hint="eastAsia"/>
          <w:color w:val="auto"/>
          <w:highlight w:val="none"/>
          <w:lang w:val="en-US" w:eastAsia="zh-Hans"/>
        </w:rPr>
      </w:pPr>
      <w:r>
        <w:rPr>
          <w:rFonts w:hint="eastAsia"/>
          <w:color w:val="auto"/>
          <w:highlight w:val="none"/>
          <w:lang w:val="en-US" w:eastAsia="zh-Hans"/>
        </w:rPr>
        <w:t>（一）具备相关数据、技术和商务资质，提供相关</w:t>
      </w:r>
      <w:r>
        <w:rPr>
          <w:rFonts w:hint="eastAsia"/>
          <w:color w:val="auto"/>
          <w:highlight w:val="none"/>
          <w:lang w:val="en-US" w:eastAsia="zh-CN"/>
        </w:rPr>
        <w:t>资源、资质</w:t>
      </w:r>
      <w:r>
        <w:rPr>
          <w:rFonts w:hint="eastAsia"/>
          <w:color w:val="auto"/>
          <w:highlight w:val="none"/>
          <w:lang w:val="en-US" w:eastAsia="zh-Hans"/>
        </w:rPr>
        <w:t>及能力的真实性、完整性、合法性承诺及相关材料；</w:t>
      </w:r>
    </w:p>
    <w:p>
      <w:pPr>
        <w:ind w:firstLine="632"/>
        <w:rPr>
          <w:rFonts w:hint="eastAsia" w:eastAsia="FangSong_GB2312"/>
          <w:color w:val="auto"/>
          <w:highlight w:val="none"/>
          <w:lang w:val="en-US" w:eastAsia="zh-CN"/>
        </w:rPr>
      </w:pPr>
      <w:r>
        <w:rPr>
          <w:rFonts w:hint="eastAsia"/>
          <w:color w:val="auto"/>
          <w:highlight w:val="none"/>
          <w:lang w:val="en-US" w:eastAsia="zh-Hans"/>
        </w:rPr>
        <w:t>（二）开展数据开发业务</w:t>
      </w:r>
      <w:r>
        <w:rPr>
          <w:rFonts w:hint="eastAsia"/>
          <w:color w:val="auto"/>
          <w:highlight w:val="none"/>
          <w:lang w:val="en-US" w:eastAsia="zh-CN"/>
        </w:rPr>
        <w:t>的</w:t>
      </w:r>
      <w:r>
        <w:rPr>
          <w:rFonts w:hint="eastAsia"/>
          <w:color w:val="auto"/>
          <w:highlight w:val="none"/>
          <w:lang w:val="en-US" w:eastAsia="zh-Hans"/>
        </w:rPr>
        <w:t>，应当保障处理过程安全可追溯</w:t>
      </w:r>
      <w:r>
        <w:rPr>
          <w:rFonts w:hint="eastAsia"/>
          <w:color w:val="auto"/>
          <w:highlight w:val="none"/>
          <w:lang w:val="en-US" w:eastAsia="zh-CN"/>
        </w:rPr>
        <w:t>；</w:t>
      </w:r>
    </w:p>
    <w:p>
      <w:pPr>
        <w:ind w:firstLine="632"/>
        <w:rPr>
          <w:rFonts w:hint="eastAsia" w:eastAsia="FangSong_GB2312"/>
          <w:color w:val="auto"/>
          <w:highlight w:val="none"/>
          <w:lang w:val="en-US" w:eastAsia="zh-CN"/>
        </w:rPr>
      </w:pPr>
      <w:r>
        <w:rPr>
          <w:rFonts w:hint="eastAsia"/>
          <w:color w:val="auto"/>
          <w:highlight w:val="none"/>
          <w:lang w:val="en-US" w:eastAsia="zh-CN"/>
        </w:rPr>
        <w:t>（三）</w:t>
      </w:r>
      <w:r>
        <w:rPr>
          <w:rFonts w:hint="eastAsia"/>
          <w:color w:val="auto"/>
          <w:highlight w:val="none"/>
          <w:lang w:val="en-US" w:eastAsia="zh-Hans"/>
        </w:rPr>
        <w:t>代理数据发布、承销业务，应当审核数据来源以及数据供方的身份、资质</w:t>
      </w:r>
      <w:r>
        <w:rPr>
          <w:rFonts w:hint="eastAsia"/>
          <w:color w:val="auto"/>
          <w:highlight w:val="none"/>
          <w:lang w:val="en-US" w:eastAsia="zh-CN"/>
        </w:rPr>
        <w:t>；</w:t>
      </w:r>
    </w:p>
    <w:p>
      <w:pPr>
        <w:ind w:firstLine="632"/>
        <w:rPr>
          <w:rFonts w:hint="eastAsia"/>
          <w:color w:val="auto"/>
          <w:highlight w:val="none"/>
          <w:lang w:val="en-US" w:eastAsia="zh-Hans"/>
        </w:rPr>
      </w:pPr>
      <w:r>
        <w:rPr>
          <w:rFonts w:hint="eastAsia"/>
          <w:color w:val="auto"/>
          <w:highlight w:val="none"/>
          <w:lang w:val="en-US" w:eastAsia="zh-Hans"/>
        </w:rPr>
        <w:t>（</w:t>
      </w:r>
      <w:r>
        <w:rPr>
          <w:rFonts w:hint="eastAsia"/>
          <w:color w:val="auto"/>
          <w:highlight w:val="none"/>
          <w:lang w:val="en-US" w:eastAsia="zh-CN"/>
        </w:rPr>
        <w:t>四</w:t>
      </w:r>
      <w:r>
        <w:rPr>
          <w:rFonts w:hint="eastAsia"/>
          <w:color w:val="auto"/>
          <w:highlight w:val="none"/>
          <w:lang w:val="en-US" w:eastAsia="zh-Hans"/>
        </w:rPr>
        <w:t>）遵守本市数据流通交易的各项制度；</w:t>
      </w:r>
    </w:p>
    <w:p>
      <w:pPr>
        <w:ind w:firstLine="632"/>
        <w:rPr>
          <w:rFonts w:hint="eastAsia"/>
          <w:color w:val="auto"/>
          <w:highlight w:val="none"/>
          <w:lang w:val="en-US" w:eastAsia="zh-Hans"/>
        </w:rPr>
      </w:pPr>
      <w:r>
        <w:rPr>
          <w:rFonts w:hint="eastAsia"/>
          <w:color w:val="auto"/>
          <w:highlight w:val="none"/>
          <w:lang w:val="en-US" w:eastAsia="zh-Hans"/>
        </w:rPr>
        <w:t>（</w:t>
      </w:r>
      <w:r>
        <w:rPr>
          <w:rFonts w:hint="eastAsia"/>
          <w:color w:val="auto"/>
          <w:highlight w:val="none"/>
          <w:lang w:val="en-US" w:eastAsia="zh-CN"/>
        </w:rPr>
        <w:t>五</w:t>
      </w:r>
      <w:r>
        <w:rPr>
          <w:rFonts w:hint="eastAsia"/>
          <w:color w:val="auto"/>
          <w:highlight w:val="none"/>
          <w:lang w:val="en-US" w:eastAsia="zh-Hans"/>
        </w:rPr>
        <w:t>）遵守法律、法规、规章规定的其他要求。</w:t>
      </w:r>
    </w:p>
    <w:p>
      <w:pPr>
        <w:pStyle w:val="2"/>
        <w:rPr>
          <w:rFonts w:hint="eastAsia"/>
          <w:lang w:val="en-US" w:eastAsia="zh-Hans"/>
        </w:rPr>
      </w:pPr>
      <w:r>
        <w:rPr>
          <w:rFonts w:hint="eastAsia"/>
          <w:lang w:val="en-US" w:eastAsia="zh-Hans"/>
        </w:rPr>
        <w:t>市</w:t>
      </w:r>
      <w:r>
        <w:rPr>
          <w:rFonts w:hint="eastAsia"/>
          <w:lang w:val="en-US" w:eastAsia="zh-CN"/>
        </w:rPr>
        <w:t>数据主管部门</w:t>
      </w:r>
      <w:r>
        <w:rPr>
          <w:rFonts w:hint="eastAsia"/>
          <w:lang w:val="en-US" w:eastAsia="zh-Hans"/>
        </w:rPr>
        <w:t>应当指导相关行业组织制定数</w:t>
      </w:r>
      <w:r>
        <w:rPr>
          <w:rFonts w:hint="eastAsia"/>
          <w:lang w:val="en-US" w:eastAsia="zh-CN"/>
        </w:rPr>
        <w:t>据</w:t>
      </w:r>
      <w:r>
        <w:rPr>
          <w:rFonts w:hint="eastAsia"/>
          <w:lang w:val="en-US" w:eastAsia="zh-Hans"/>
        </w:rPr>
        <w:t>商分类</w:t>
      </w:r>
      <w:r>
        <w:rPr>
          <w:rFonts w:hint="eastAsia"/>
          <w:lang w:val="en-US" w:eastAsia="zh-CN"/>
        </w:rPr>
        <w:t>评级规则</w:t>
      </w:r>
      <w:r>
        <w:rPr>
          <w:rFonts w:hint="eastAsia"/>
          <w:lang w:val="en-US" w:eastAsia="zh-Hans"/>
        </w:rPr>
        <w:t>，开展数</w:t>
      </w:r>
      <w:r>
        <w:rPr>
          <w:rFonts w:hint="eastAsia"/>
          <w:lang w:val="en-US" w:eastAsia="zh-CN"/>
        </w:rPr>
        <w:t>据</w:t>
      </w:r>
      <w:r>
        <w:rPr>
          <w:rFonts w:hint="eastAsia"/>
          <w:lang w:val="en-US" w:eastAsia="zh-Hans"/>
        </w:rPr>
        <w:t>商等级评估，引导数</w:t>
      </w:r>
      <w:r>
        <w:rPr>
          <w:rFonts w:hint="eastAsia"/>
          <w:lang w:val="en-US" w:eastAsia="zh-CN"/>
        </w:rPr>
        <w:t>据</w:t>
      </w:r>
      <w:r>
        <w:rPr>
          <w:rFonts w:hint="eastAsia"/>
          <w:lang w:val="en-US" w:eastAsia="zh-Hans"/>
        </w:rPr>
        <w:t>商创新业务模式和提升服务质量。</w:t>
      </w:r>
    </w:p>
    <w:p>
      <w:pPr>
        <w:tabs>
          <w:tab w:val="left" w:pos="0"/>
        </w:tabs>
        <w:ind w:firstLine="632" w:firstLineChars="0"/>
        <w:rPr>
          <w:rFonts w:hint="eastAsia"/>
          <w:color w:val="auto"/>
          <w:highlight w:val="none"/>
          <w:lang w:eastAsia="zh-Hans"/>
        </w:rPr>
      </w:pPr>
      <w:r>
        <w:rPr>
          <w:rFonts w:hint="eastAsia" w:ascii="黑体" w:hAnsi="黑体" w:eastAsia="黑体" w:cs="黑体"/>
          <w:color w:val="auto"/>
          <w:highlight w:val="none"/>
          <w:lang w:eastAsia="zh-Hans"/>
        </w:rPr>
        <w:t>第十</w:t>
      </w:r>
      <w:r>
        <w:rPr>
          <w:rFonts w:hint="eastAsia" w:ascii="黑体" w:hAnsi="黑体" w:eastAsia="黑体" w:cs="黑体"/>
          <w:color w:val="auto"/>
          <w:highlight w:val="none"/>
          <w:lang w:val="en-US" w:eastAsia="zh-CN"/>
        </w:rPr>
        <w:t>八</w:t>
      </w:r>
      <w:r>
        <w:rPr>
          <w:rFonts w:hint="eastAsia" w:ascii="黑体" w:hAnsi="黑体" w:eastAsia="黑体" w:cs="黑体"/>
          <w:color w:val="auto"/>
          <w:highlight w:val="none"/>
          <w:lang w:eastAsia="zh-Hans"/>
        </w:rPr>
        <w:t>条（第三方专业服务机构要求）</w:t>
      </w:r>
      <w:r>
        <w:rPr>
          <w:rFonts w:hint="eastAsia" w:ascii="Times New Roman" w:hAnsi="Times New Roman" w:eastAsia="FangSong_GB2312" w:cstheme="minorBidi"/>
          <w:color w:val="auto"/>
          <w:highlight w:val="none"/>
          <w:lang w:val="en-US" w:eastAsia="zh-Hans"/>
        </w:rPr>
        <w:t>本市</w:t>
      </w:r>
      <w:r>
        <w:rPr>
          <w:rFonts w:hint="eastAsia" w:ascii="Times New Roman" w:hAnsi="Times New Roman" w:eastAsia="FangSong_GB2312" w:cstheme="minorBidi"/>
          <w:color w:val="auto"/>
          <w:highlight w:val="none"/>
          <w:lang w:eastAsia="zh-Hans"/>
        </w:rPr>
        <w:t>支持</w:t>
      </w:r>
      <w:r>
        <w:rPr>
          <w:rFonts w:hint="eastAsia" w:ascii="Times New Roman" w:hAnsi="Times New Roman" w:eastAsia="FangSong_GB2312" w:cstheme="minorBidi"/>
          <w:color w:val="auto"/>
          <w:highlight w:val="none"/>
          <w:lang w:val="en-US" w:eastAsia="zh-Hans"/>
        </w:rPr>
        <w:t>第三方专业服务机构为</w:t>
      </w:r>
      <w:r>
        <w:rPr>
          <w:rFonts w:hint="eastAsia" w:ascii="Times New Roman" w:hAnsi="Times New Roman" w:cstheme="minorBidi"/>
          <w:color w:val="auto"/>
          <w:highlight w:val="none"/>
          <w:lang w:val="en-US" w:eastAsia="zh-CN"/>
        </w:rPr>
        <w:t>供需双方或数据交易机构提供相关</w:t>
      </w:r>
      <w:r>
        <w:rPr>
          <w:rFonts w:hint="eastAsia" w:ascii="Times New Roman" w:hAnsi="Times New Roman" w:eastAsia="FangSong_GB2312" w:cstheme="minorBidi"/>
          <w:color w:val="auto"/>
          <w:highlight w:val="none"/>
          <w:lang w:val="en-US" w:eastAsia="zh-Hans"/>
        </w:rPr>
        <w:t>专业服务</w:t>
      </w:r>
      <w:r>
        <w:rPr>
          <w:rFonts w:hint="eastAsia" w:ascii="Times New Roman" w:hAnsi="Times New Roman" w:cstheme="minorBidi"/>
          <w:color w:val="auto"/>
          <w:highlight w:val="none"/>
          <w:lang w:val="en-US" w:eastAsia="zh-CN"/>
        </w:rPr>
        <w:t>。</w:t>
      </w:r>
      <w:r>
        <w:rPr>
          <w:rFonts w:hint="default"/>
          <w:color w:val="auto"/>
          <w:highlight w:val="none"/>
          <w:lang w:val="en-US" w:eastAsia="zh-Hans"/>
        </w:rPr>
        <w:t>第三方专业服务机构</w:t>
      </w:r>
      <w:r>
        <w:rPr>
          <w:rFonts w:hint="default"/>
          <w:color w:val="auto"/>
          <w:highlight w:val="none"/>
          <w:lang w:val="en-US"/>
        </w:rPr>
        <w:t>提供</w:t>
      </w:r>
      <w:r>
        <w:rPr>
          <w:rFonts w:hint="default"/>
          <w:color w:val="auto"/>
          <w:highlight w:val="none"/>
          <w:lang w:val="en-US" w:eastAsia="zh-Hans"/>
        </w:rPr>
        <w:t>数据交易相关服务</w:t>
      </w:r>
      <w:r>
        <w:rPr>
          <w:rFonts w:hint="default"/>
          <w:color w:val="auto"/>
          <w:highlight w:val="none"/>
          <w:lang w:val="en-US"/>
        </w:rPr>
        <w:t>的</w:t>
      </w:r>
      <w:r>
        <w:rPr>
          <w:rFonts w:hint="default"/>
          <w:color w:val="auto"/>
          <w:highlight w:val="none"/>
          <w:lang w:val="en-US" w:eastAsia="zh-Hans"/>
        </w:rPr>
        <w:t>，</w:t>
      </w:r>
      <w:r>
        <w:rPr>
          <w:rFonts w:hint="eastAsia"/>
          <w:color w:val="auto"/>
          <w:highlight w:val="none"/>
          <w:lang w:eastAsia="zh-Hans"/>
        </w:rPr>
        <w:t>应当符合以下要求：</w:t>
      </w:r>
    </w:p>
    <w:p>
      <w:pPr>
        <w:spacing w:line="240" w:lineRule="auto"/>
        <w:ind w:firstLine="632"/>
        <w:rPr>
          <w:color w:val="auto"/>
          <w:highlight w:val="none"/>
          <w:lang w:eastAsia="zh-Hans"/>
        </w:rPr>
      </w:pPr>
      <w:r>
        <w:rPr>
          <w:color w:val="auto"/>
          <w:highlight w:val="none"/>
          <w:lang w:eastAsia="zh-Hans"/>
        </w:rPr>
        <w:t>（一）依法设立，并有与其开展业务相适应的固定场所和相应的工作人员；</w:t>
      </w:r>
    </w:p>
    <w:p>
      <w:pPr>
        <w:spacing w:line="240" w:lineRule="auto"/>
        <w:ind w:firstLine="632"/>
        <w:rPr>
          <w:color w:val="auto"/>
          <w:highlight w:val="none"/>
          <w:lang w:eastAsia="zh-Hans"/>
        </w:rPr>
      </w:pPr>
      <w:r>
        <w:rPr>
          <w:color w:val="auto"/>
          <w:highlight w:val="none"/>
          <w:lang w:eastAsia="zh-Hans"/>
        </w:rPr>
        <w:t>（二）具备法律、法规要求的资质、资格或其他许可条件；</w:t>
      </w:r>
    </w:p>
    <w:p>
      <w:pPr>
        <w:spacing w:line="240" w:lineRule="auto"/>
        <w:ind w:firstLine="632"/>
        <w:rPr>
          <w:color w:val="auto"/>
          <w:highlight w:val="none"/>
          <w:lang w:eastAsia="zh-Hans"/>
        </w:rPr>
      </w:pPr>
      <w:r>
        <w:rPr>
          <w:color w:val="auto"/>
          <w:highlight w:val="none"/>
          <w:lang w:eastAsia="zh-Hans"/>
        </w:rPr>
        <w:t>（三）执业人员具有</w:t>
      </w:r>
      <w:r>
        <w:rPr>
          <w:rFonts w:hint="eastAsia"/>
          <w:color w:val="auto"/>
          <w:highlight w:val="none"/>
          <w:lang w:eastAsia="zh-Hans"/>
        </w:rPr>
        <w:t>与</w:t>
      </w:r>
      <w:r>
        <w:rPr>
          <w:color w:val="auto"/>
          <w:highlight w:val="none"/>
          <w:lang w:eastAsia="zh-Hans"/>
        </w:rPr>
        <w:t>所从事的活动相适应的知识、技能和职业操守；</w:t>
      </w:r>
    </w:p>
    <w:p>
      <w:pPr>
        <w:spacing w:line="240" w:lineRule="auto"/>
        <w:ind w:firstLine="632"/>
        <w:rPr>
          <w:color w:val="auto"/>
          <w:highlight w:val="none"/>
          <w:lang w:eastAsia="zh-Hans"/>
        </w:rPr>
      </w:pPr>
      <w:r>
        <w:rPr>
          <w:color w:val="auto"/>
          <w:highlight w:val="none"/>
          <w:lang w:eastAsia="zh-Hans"/>
        </w:rPr>
        <w:t>（四）在安全可控的前提下开展第三方专业服务；</w:t>
      </w:r>
    </w:p>
    <w:p>
      <w:pPr>
        <w:spacing w:line="240" w:lineRule="auto"/>
        <w:ind w:firstLine="632"/>
        <w:rPr>
          <w:color w:val="auto"/>
          <w:highlight w:val="none"/>
          <w:lang w:eastAsia="zh-Hans"/>
        </w:rPr>
      </w:pPr>
      <w:r>
        <w:rPr>
          <w:rFonts w:hint="eastAsia"/>
          <w:color w:val="auto"/>
          <w:highlight w:val="none"/>
          <w:lang w:eastAsia="zh-Hans"/>
        </w:rPr>
        <w:t>（五）遵守</w:t>
      </w:r>
      <w:r>
        <w:rPr>
          <w:color w:val="auto"/>
          <w:highlight w:val="none"/>
          <w:lang w:eastAsia="zh-Hans"/>
        </w:rPr>
        <w:t>本市数据流通交易的各项制度；</w:t>
      </w:r>
    </w:p>
    <w:p>
      <w:pPr>
        <w:spacing w:line="240" w:lineRule="auto"/>
        <w:ind w:firstLine="632"/>
        <w:rPr>
          <w:color w:val="auto"/>
          <w:highlight w:val="none"/>
          <w:lang w:eastAsia="zh-Hans"/>
        </w:rPr>
      </w:pPr>
      <w:r>
        <w:rPr>
          <w:color w:val="auto"/>
          <w:highlight w:val="none"/>
          <w:lang w:eastAsia="zh-Hans"/>
        </w:rPr>
        <w:t>（</w:t>
      </w:r>
      <w:r>
        <w:rPr>
          <w:rFonts w:hint="eastAsia"/>
          <w:color w:val="auto"/>
          <w:highlight w:val="none"/>
          <w:lang w:val="en-US" w:eastAsia="zh-CN"/>
        </w:rPr>
        <w:t>六</w:t>
      </w:r>
      <w:r>
        <w:rPr>
          <w:color w:val="auto"/>
          <w:highlight w:val="none"/>
          <w:lang w:eastAsia="zh-Hans"/>
        </w:rPr>
        <w:t>）</w:t>
      </w:r>
      <w:r>
        <w:rPr>
          <w:rFonts w:hint="eastAsia"/>
          <w:color w:val="auto"/>
          <w:highlight w:val="none"/>
          <w:lang w:eastAsia="zh-Hans"/>
        </w:rPr>
        <w:t>遵守</w:t>
      </w:r>
      <w:r>
        <w:rPr>
          <w:color w:val="auto"/>
          <w:highlight w:val="none"/>
          <w:lang w:eastAsia="zh-Hans"/>
        </w:rPr>
        <w:t>法律、法规、规章规定的其他要求。</w:t>
      </w:r>
    </w:p>
    <w:p>
      <w:pPr>
        <w:rPr>
          <w:rFonts w:hint="default"/>
          <w:lang w:eastAsia="zh-Hans"/>
        </w:rPr>
      </w:pPr>
      <w:r>
        <w:rPr>
          <w:rFonts w:hint="eastAsia" w:ascii="黑体" w:hAnsi="黑体" w:eastAsia="黑体" w:cs="黑体"/>
          <w:highlight w:val="none"/>
          <w:lang w:val="en-US" w:eastAsia="zh-CN"/>
        </w:rPr>
        <w:t>第十九条（引育数据商和第三方专业服务机构）</w:t>
      </w:r>
      <w:r>
        <w:rPr>
          <w:rFonts w:hint="default"/>
          <w:lang w:val="en-US" w:eastAsia="zh-Hans"/>
        </w:rPr>
        <w:t>市数据主管部门可会同相关部门，</w:t>
      </w:r>
      <w:r>
        <w:rPr>
          <w:rFonts w:hint="default"/>
          <w:lang w:eastAsia="zh-Hans"/>
        </w:rPr>
        <w:t>围绕</w:t>
      </w:r>
      <w:r>
        <w:rPr>
          <w:rFonts w:hint="default"/>
          <w:lang w:val="en-US" w:eastAsia="zh-Hans"/>
        </w:rPr>
        <w:t>全市</w:t>
      </w:r>
      <w:r>
        <w:rPr>
          <w:rFonts w:hint="default"/>
          <w:lang w:eastAsia="zh-Hans"/>
        </w:rPr>
        <w:t>数据流通交易需要，</w:t>
      </w:r>
      <w:r>
        <w:rPr>
          <w:rFonts w:hint="eastAsia"/>
          <w:lang w:val="en-US" w:eastAsia="zh-CN"/>
        </w:rPr>
        <w:t>引育和支持</w:t>
      </w:r>
      <w:r>
        <w:rPr>
          <w:rFonts w:hint="default"/>
          <w:lang w:eastAsia="zh-Hans"/>
        </w:rPr>
        <w:t>数据商和第三方专业服务机构，壮大数据</w:t>
      </w:r>
      <w:r>
        <w:rPr>
          <w:rFonts w:hint="default"/>
          <w:lang w:val="en-US" w:eastAsia="zh-Hans"/>
        </w:rPr>
        <w:t>要素</w:t>
      </w:r>
      <w:r>
        <w:rPr>
          <w:rFonts w:hint="default"/>
          <w:lang w:eastAsia="zh-Hans"/>
        </w:rPr>
        <w:t>产业</w:t>
      </w:r>
      <w:r>
        <w:rPr>
          <w:rFonts w:hint="default"/>
          <w:lang w:val="en-US" w:eastAsia="zh-Hans"/>
        </w:rPr>
        <w:t>生态</w:t>
      </w:r>
      <w:r>
        <w:rPr>
          <w:rFonts w:hint="default"/>
          <w:lang w:eastAsia="zh-Hans"/>
        </w:rPr>
        <w:t>。</w:t>
      </w:r>
    </w:p>
    <w:p>
      <w:pPr>
        <w:tabs>
          <w:tab w:val="left" w:pos="0"/>
        </w:tabs>
        <w:ind w:firstLine="632" w:firstLineChars="0"/>
        <w:rPr>
          <w:rFonts w:hint="eastAsia"/>
          <w:color w:val="auto"/>
          <w:highlight w:val="none"/>
          <w:lang w:eastAsia="zh-Hans"/>
        </w:rPr>
      </w:pPr>
      <w:r>
        <w:rPr>
          <w:rFonts w:hint="eastAsia" w:ascii="黑体" w:hAnsi="黑体" w:eastAsia="黑体" w:cs="黑体"/>
          <w:color w:val="auto"/>
          <w:highlight w:val="none"/>
          <w:lang w:eastAsia="zh-Hans"/>
        </w:rPr>
        <w:t>第</w:t>
      </w:r>
      <w:r>
        <w:rPr>
          <w:rFonts w:hint="eastAsia" w:ascii="黑体" w:hAnsi="黑体" w:eastAsia="黑体" w:cs="黑体"/>
          <w:color w:val="auto"/>
          <w:highlight w:val="none"/>
          <w:lang w:val="en-US" w:eastAsia="zh-CN"/>
        </w:rPr>
        <w:t>二十</w:t>
      </w:r>
      <w:r>
        <w:rPr>
          <w:rFonts w:hint="eastAsia" w:ascii="黑体" w:hAnsi="黑体" w:eastAsia="黑体" w:cs="黑体"/>
          <w:color w:val="auto"/>
          <w:highlight w:val="none"/>
          <w:lang w:eastAsia="zh-Hans"/>
        </w:rPr>
        <w:t>条（交易主体权益保护）</w:t>
      </w:r>
      <w:r>
        <w:rPr>
          <w:rFonts w:hint="eastAsia"/>
          <w:color w:val="auto"/>
          <w:highlight w:val="none"/>
          <w:lang w:eastAsia="zh-Hans"/>
        </w:rPr>
        <w:t>在保证数据安全、公共利益及交易标的来源合法的前提下，数据交易主体依法享有法律、法规和规章</w:t>
      </w:r>
      <w:r>
        <w:rPr>
          <w:color w:val="auto"/>
          <w:highlight w:val="none"/>
          <w:lang w:eastAsia="zh-Hans"/>
        </w:rPr>
        <w:t>规定</w:t>
      </w:r>
      <w:r>
        <w:rPr>
          <w:rFonts w:hint="eastAsia"/>
          <w:color w:val="auto"/>
          <w:highlight w:val="none"/>
          <w:lang w:eastAsia="zh-Hans"/>
        </w:rPr>
        <w:t>的或者通过民事商事合同和行政协议约定的交易标的财产权益。</w:t>
      </w:r>
    </w:p>
    <w:p>
      <w:pPr>
        <w:pStyle w:val="2"/>
        <w:rPr>
          <w:rFonts w:hint="eastAsia"/>
          <w:lang w:eastAsia="zh-Hans"/>
        </w:rPr>
      </w:pPr>
    </w:p>
    <w:p>
      <w:pPr>
        <w:widowControl/>
        <w:ind w:firstLine="0" w:firstLineChars="0"/>
        <w:jc w:val="center"/>
        <w:outlineLvl w:val="0"/>
        <w:rPr>
          <w:rFonts w:ascii="宋体" w:hAnsi="宋体" w:eastAsia="黑体" w:cs="宋体"/>
          <w:bCs/>
          <w:color w:val="auto"/>
          <w:kern w:val="36"/>
          <w:szCs w:val="48"/>
          <w:highlight w:val="none"/>
        </w:rPr>
      </w:pPr>
      <w:bookmarkStart w:id="5" w:name="_Toc1321943000"/>
      <w:r>
        <w:rPr>
          <w:rFonts w:hint="eastAsia" w:ascii="宋体" w:hAnsi="宋体" w:eastAsia="黑体" w:cs="宋体"/>
          <w:bCs/>
          <w:color w:val="auto"/>
          <w:kern w:val="36"/>
          <w:szCs w:val="48"/>
          <w:highlight w:val="none"/>
        </w:rPr>
        <w:t>第</w:t>
      </w:r>
      <w:r>
        <w:rPr>
          <w:rFonts w:hint="eastAsia" w:ascii="宋体" w:hAnsi="宋体" w:eastAsia="黑体" w:cs="宋体"/>
          <w:bCs/>
          <w:color w:val="auto"/>
          <w:kern w:val="36"/>
          <w:szCs w:val="48"/>
          <w:highlight w:val="none"/>
          <w:lang w:eastAsia="zh-Hans"/>
        </w:rPr>
        <w:t>四</w:t>
      </w:r>
      <w:r>
        <w:rPr>
          <w:rFonts w:hint="eastAsia" w:ascii="宋体" w:hAnsi="宋体" w:eastAsia="黑体" w:cs="宋体"/>
          <w:bCs/>
          <w:color w:val="auto"/>
          <w:kern w:val="36"/>
          <w:szCs w:val="48"/>
          <w:highlight w:val="none"/>
        </w:rPr>
        <w:t>章</w:t>
      </w:r>
      <w:r>
        <w:rPr>
          <w:rFonts w:ascii="宋体" w:hAnsi="宋体" w:eastAsia="黑体" w:cs="宋体"/>
          <w:bCs/>
          <w:color w:val="auto"/>
          <w:kern w:val="36"/>
          <w:szCs w:val="48"/>
          <w:highlight w:val="none"/>
        </w:rPr>
        <w:t xml:space="preserve"> 交易标的</w:t>
      </w:r>
      <w:bookmarkEnd w:id="5"/>
    </w:p>
    <w:p>
      <w:pPr>
        <w:ind w:firstLine="632"/>
        <w:rPr>
          <w:color w:val="auto"/>
          <w:highlight w:val="none"/>
        </w:rPr>
      </w:pPr>
    </w:p>
    <w:p>
      <w:pPr>
        <w:tabs>
          <w:tab w:val="left" w:pos="0"/>
        </w:tabs>
        <w:ind w:firstLine="632" w:firstLineChars="0"/>
        <w:rPr>
          <w:color w:val="auto"/>
          <w:highlight w:val="none"/>
        </w:rPr>
      </w:pPr>
      <w:r>
        <w:rPr>
          <w:rFonts w:hint="eastAsia" w:ascii="黑体" w:hAnsi="黑体" w:eastAsia="黑体" w:cs="黑体"/>
          <w:color w:val="auto"/>
          <w:highlight w:val="none"/>
          <w:lang w:eastAsia="zh-Hans"/>
        </w:rPr>
        <w:t>第二十</w:t>
      </w:r>
      <w:r>
        <w:rPr>
          <w:rFonts w:hint="eastAsia" w:ascii="黑体" w:hAnsi="黑体" w:eastAsia="黑体" w:cs="黑体"/>
          <w:color w:val="auto"/>
          <w:highlight w:val="none"/>
          <w:lang w:val="en-US" w:eastAsia="zh-CN"/>
        </w:rPr>
        <w:t>一</w:t>
      </w:r>
      <w:r>
        <w:rPr>
          <w:rFonts w:hint="eastAsia" w:ascii="黑体" w:hAnsi="黑体" w:eastAsia="黑体" w:cs="黑体"/>
          <w:color w:val="auto"/>
          <w:highlight w:val="none"/>
          <w:lang w:eastAsia="zh-Hans"/>
        </w:rPr>
        <w:t>条（</w:t>
      </w:r>
      <w:r>
        <w:rPr>
          <w:rFonts w:ascii="黑体" w:hAnsi="黑体" w:eastAsia="黑体" w:cs="黑体"/>
          <w:color w:val="auto"/>
          <w:highlight w:val="none"/>
          <w:lang w:eastAsia="zh-Hans"/>
        </w:rPr>
        <w:t>交易标的</w:t>
      </w:r>
      <w:r>
        <w:rPr>
          <w:rFonts w:hint="eastAsia" w:ascii="黑体" w:hAnsi="黑体" w:eastAsia="黑体" w:cs="黑体"/>
          <w:color w:val="auto"/>
          <w:highlight w:val="none"/>
          <w:lang w:eastAsia="zh-Hans"/>
        </w:rPr>
        <w:t>类型）</w:t>
      </w:r>
      <w:r>
        <w:rPr>
          <w:rFonts w:hint="eastAsia"/>
          <w:color w:val="auto"/>
          <w:highlight w:val="none"/>
        </w:rPr>
        <w:t>数据</w:t>
      </w:r>
      <w:r>
        <w:rPr>
          <w:color w:val="auto"/>
          <w:highlight w:val="none"/>
        </w:rPr>
        <w:t>交易标的</w:t>
      </w:r>
      <w:r>
        <w:rPr>
          <w:rFonts w:hint="eastAsia"/>
          <w:color w:val="auto"/>
          <w:highlight w:val="none"/>
        </w:rPr>
        <w:t>包括</w:t>
      </w:r>
      <w:r>
        <w:rPr>
          <w:rFonts w:hint="eastAsia"/>
          <w:color w:val="auto"/>
          <w:highlight w:val="none"/>
          <w:lang w:eastAsia="zh-Hans"/>
        </w:rPr>
        <w:t>数据资源、</w:t>
      </w:r>
      <w:r>
        <w:rPr>
          <w:rFonts w:hint="eastAsia"/>
          <w:color w:val="auto"/>
          <w:highlight w:val="none"/>
        </w:rPr>
        <w:t>数据中间态、数据产品</w:t>
      </w:r>
      <w:r>
        <w:rPr>
          <w:rFonts w:hint="eastAsia"/>
          <w:color w:val="auto"/>
          <w:highlight w:val="none"/>
          <w:lang w:eastAsia="zh-CN"/>
        </w:rPr>
        <w:t>、</w:t>
      </w:r>
      <w:r>
        <w:rPr>
          <w:rFonts w:hint="eastAsia"/>
          <w:color w:val="auto"/>
          <w:highlight w:val="none"/>
          <w:lang w:val="en-US" w:eastAsia="zh-CN"/>
        </w:rPr>
        <w:t>数据服务等</w:t>
      </w:r>
      <w:r>
        <w:rPr>
          <w:rFonts w:hint="eastAsia"/>
          <w:color w:val="auto"/>
          <w:highlight w:val="none"/>
        </w:rPr>
        <w:t>。</w:t>
      </w:r>
    </w:p>
    <w:p>
      <w:pPr>
        <w:ind w:firstLine="632"/>
        <w:rPr>
          <w:color w:val="auto"/>
          <w:highlight w:val="none"/>
        </w:rPr>
      </w:pPr>
      <w:r>
        <w:rPr>
          <w:rFonts w:hint="eastAsia"/>
          <w:color w:val="auto"/>
          <w:highlight w:val="none"/>
        </w:rPr>
        <w:t>（一）数据资源</w:t>
      </w:r>
      <w:r>
        <w:rPr>
          <w:rFonts w:hint="eastAsia"/>
          <w:color w:val="auto"/>
          <w:highlight w:val="none"/>
          <w:lang w:eastAsia="zh-Hans"/>
        </w:rPr>
        <w:t>，是指以电子化形式记录、保存的，可以通过云计算、大数据、人工智能等技术分析处理，并可供社会化再利用的各类信息资源的集合</w:t>
      </w:r>
      <w:r>
        <w:rPr>
          <w:rFonts w:hint="eastAsia"/>
          <w:color w:val="auto"/>
          <w:highlight w:val="none"/>
        </w:rPr>
        <w:t>；</w:t>
      </w:r>
    </w:p>
    <w:p>
      <w:pPr>
        <w:ind w:firstLine="632"/>
        <w:rPr>
          <w:color w:val="auto"/>
          <w:highlight w:val="none"/>
          <w:lang w:eastAsia="zh-Hans"/>
        </w:rPr>
      </w:pPr>
      <w:r>
        <w:rPr>
          <w:rFonts w:hint="eastAsia"/>
          <w:color w:val="auto"/>
          <w:highlight w:val="none"/>
          <w:lang w:eastAsia="zh-Hans"/>
        </w:rPr>
        <w:t>（二）</w:t>
      </w:r>
      <w:r>
        <w:rPr>
          <w:rFonts w:hint="eastAsia"/>
          <w:color w:val="auto"/>
          <w:highlight w:val="none"/>
        </w:rPr>
        <w:t>数据</w:t>
      </w:r>
      <w:r>
        <w:rPr>
          <w:rFonts w:hint="eastAsia"/>
          <w:color w:val="auto"/>
          <w:highlight w:val="none"/>
          <w:lang w:eastAsia="zh-Hans"/>
        </w:rPr>
        <w:t>中间态，是指数据元件、模型、核验等数据中间产品或数据初级产品；</w:t>
      </w:r>
    </w:p>
    <w:p>
      <w:pPr>
        <w:ind w:firstLine="632"/>
        <w:rPr>
          <w:rFonts w:hint="eastAsia"/>
          <w:color w:val="auto"/>
          <w:highlight w:val="none"/>
          <w:lang w:eastAsia="zh-CN"/>
        </w:rPr>
      </w:pPr>
      <w:r>
        <w:rPr>
          <w:rFonts w:hint="eastAsia"/>
          <w:color w:val="auto"/>
          <w:highlight w:val="none"/>
        </w:rPr>
        <w:t>（</w:t>
      </w:r>
      <w:r>
        <w:rPr>
          <w:rFonts w:hint="eastAsia"/>
          <w:color w:val="auto"/>
          <w:highlight w:val="none"/>
          <w:lang w:eastAsia="zh-Hans"/>
        </w:rPr>
        <w:t>三</w:t>
      </w:r>
      <w:r>
        <w:rPr>
          <w:rFonts w:hint="eastAsia"/>
          <w:color w:val="auto"/>
          <w:highlight w:val="none"/>
        </w:rPr>
        <w:t>）数据产品</w:t>
      </w:r>
      <w:r>
        <w:rPr>
          <w:rFonts w:hint="eastAsia"/>
          <w:color w:val="auto"/>
          <w:highlight w:val="none"/>
          <w:lang w:eastAsia="zh-Hans"/>
        </w:rPr>
        <w:t>，</w:t>
      </w:r>
      <w:r>
        <w:rPr>
          <w:rFonts w:hint="eastAsia"/>
          <w:color w:val="auto"/>
          <w:highlight w:val="none"/>
        </w:rPr>
        <w:t>是指利用数据中间态进行分析研究、加工处理所形成的，能发挥数据要素价值的产品</w:t>
      </w:r>
      <w:r>
        <w:rPr>
          <w:rFonts w:hint="eastAsia"/>
          <w:color w:val="auto"/>
          <w:highlight w:val="none"/>
          <w:lang w:eastAsia="zh-CN"/>
        </w:rPr>
        <w:t>；</w:t>
      </w:r>
    </w:p>
    <w:p>
      <w:pPr>
        <w:ind w:firstLine="632"/>
        <w:rPr>
          <w:rFonts w:hint="eastAsia"/>
          <w:color w:val="auto"/>
          <w:highlight w:val="none"/>
          <w:lang w:val="en-US" w:eastAsia="zh-CN"/>
        </w:rPr>
      </w:pPr>
      <w:r>
        <w:rPr>
          <w:rFonts w:hint="eastAsia"/>
          <w:color w:val="auto"/>
          <w:highlight w:val="none"/>
          <w:lang w:val="en-US" w:eastAsia="zh-CN"/>
        </w:rPr>
        <w:t>（四）数据服务，是指提供数据收集、存储、计算、加工、分析、可视化等数据处理服务以及数据集成、数据经纪、合规认证、安全审计、数据公证、数据保险、数据托管、资产评估、争议仲裁、风险评估、人才培训等第三方专业服务；</w:t>
      </w:r>
    </w:p>
    <w:p>
      <w:pPr>
        <w:pStyle w:val="2"/>
        <w:rPr>
          <w:rFonts w:hint="eastAsia"/>
          <w:highlight w:val="none"/>
          <w:u w:val="none"/>
          <w:lang w:val="en-US" w:eastAsia="zh-CN"/>
        </w:rPr>
      </w:pPr>
      <w:r>
        <w:rPr>
          <w:rFonts w:hint="eastAsia"/>
          <w:highlight w:val="none"/>
          <w:u w:val="none"/>
          <w:lang w:val="en-US" w:eastAsia="zh-CN"/>
        </w:rPr>
        <w:t>（五）经市数据主管部门同意的其他交易标的。</w:t>
      </w:r>
    </w:p>
    <w:p>
      <w:pPr>
        <w:ind w:firstLine="632"/>
        <w:rPr>
          <w:color w:val="auto"/>
          <w:highlight w:val="none"/>
        </w:rPr>
      </w:pPr>
      <w:r>
        <w:rPr>
          <w:rFonts w:hint="eastAsia" w:ascii="黑体" w:hAnsi="黑体" w:eastAsia="黑体" w:cs="黑体"/>
          <w:color w:val="auto"/>
          <w:highlight w:val="none"/>
        </w:rPr>
        <w:t>第二十</w:t>
      </w:r>
      <w:r>
        <w:rPr>
          <w:rFonts w:hint="eastAsia" w:ascii="黑体" w:hAnsi="黑体" w:eastAsia="黑体" w:cs="黑体"/>
          <w:color w:val="auto"/>
          <w:highlight w:val="none"/>
          <w:lang w:val="en-US" w:eastAsia="zh-CN"/>
        </w:rPr>
        <w:t>二</w:t>
      </w:r>
      <w:r>
        <w:rPr>
          <w:rFonts w:hint="eastAsia" w:ascii="黑体" w:hAnsi="黑体" w:eastAsia="黑体" w:cs="黑体"/>
          <w:color w:val="auto"/>
          <w:highlight w:val="none"/>
        </w:rPr>
        <w:t>条</w:t>
      </w:r>
      <w:r>
        <w:rPr>
          <w:rFonts w:hint="eastAsia" w:ascii="黑体" w:hAnsi="黑体" w:eastAsia="黑体" w:cs="黑体"/>
          <w:color w:val="auto"/>
          <w:highlight w:val="none"/>
          <w:lang w:eastAsia="zh-Hans"/>
        </w:rPr>
        <w:t>（</w:t>
      </w:r>
      <w:r>
        <w:rPr>
          <w:rFonts w:hint="eastAsia" w:ascii="黑体" w:hAnsi="黑体" w:eastAsia="黑体" w:cs="黑体"/>
          <w:color w:val="auto"/>
          <w:highlight w:val="none"/>
        </w:rPr>
        <w:t>交付方式</w:t>
      </w:r>
      <w:r>
        <w:rPr>
          <w:rFonts w:hint="eastAsia" w:ascii="黑体" w:hAnsi="黑体" w:eastAsia="黑体" w:cs="黑体"/>
          <w:color w:val="auto"/>
          <w:highlight w:val="none"/>
          <w:lang w:eastAsia="zh-Hans"/>
        </w:rPr>
        <w:t>）</w:t>
      </w:r>
      <w:r>
        <w:rPr>
          <w:rFonts w:hint="eastAsia"/>
          <w:color w:val="auto"/>
          <w:highlight w:val="none"/>
          <w:lang w:eastAsia="zh-Hans"/>
        </w:rPr>
        <w:t>数据</w:t>
      </w:r>
      <w:r>
        <w:rPr>
          <w:color w:val="auto"/>
          <w:highlight w:val="none"/>
        </w:rPr>
        <w:t>交易标的交付方式包括但不限于数据包、API/SDK接口、数据分析报告、数据可视化产品、数据指数等。</w:t>
      </w:r>
    </w:p>
    <w:p>
      <w:pPr>
        <w:tabs>
          <w:tab w:val="left" w:pos="0"/>
        </w:tabs>
        <w:ind w:firstLine="632" w:firstLineChars="0"/>
        <w:rPr>
          <w:color w:val="auto"/>
          <w:highlight w:val="none"/>
        </w:rPr>
      </w:pPr>
      <w:r>
        <w:rPr>
          <w:rFonts w:hint="eastAsia" w:ascii="黑体" w:hAnsi="黑体" w:eastAsia="黑体" w:cs="黑体"/>
          <w:color w:val="auto"/>
          <w:highlight w:val="none"/>
          <w:lang w:eastAsia="zh-Hans"/>
        </w:rPr>
        <w:t>第二十</w:t>
      </w:r>
      <w:r>
        <w:rPr>
          <w:rFonts w:hint="eastAsia" w:ascii="黑体" w:hAnsi="黑体" w:eastAsia="黑体" w:cs="黑体"/>
          <w:color w:val="auto"/>
          <w:highlight w:val="none"/>
          <w:lang w:val="en-US" w:eastAsia="zh-CN"/>
        </w:rPr>
        <w:t>三</w:t>
      </w:r>
      <w:r>
        <w:rPr>
          <w:rFonts w:hint="eastAsia" w:ascii="黑体" w:hAnsi="黑体" w:eastAsia="黑体" w:cs="黑体"/>
          <w:color w:val="auto"/>
          <w:highlight w:val="none"/>
          <w:lang w:eastAsia="zh-Hans"/>
        </w:rPr>
        <w:t>条（原始数据交易要求）</w:t>
      </w:r>
      <w:r>
        <w:rPr>
          <w:rFonts w:hint="eastAsia"/>
          <w:color w:val="auto"/>
          <w:highlight w:val="none"/>
          <w:lang w:eastAsia="zh-Hans"/>
        </w:rPr>
        <w:t>审慎对待原始数据的流转交易行为</w:t>
      </w:r>
      <w:r>
        <w:rPr>
          <w:rFonts w:hint="eastAsia"/>
          <w:color w:val="auto"/>
          <w:highlight w:val="none"/>
        </w:rPr>
        <w:t>，严格管控原始公共数据直接进行交易</w:t>
      </w:r>
      <w:r>
        <w:rPr>
          <w:rFonts w:hint="eastAsia"/>
          <w:color w:val="auto"/>
          <w:highlight w:val="none"/>
          <w:lang w:eastAsia="zh-Hans"/>
        </w:rPr>
        <w:t>。</w:t>
      </w:r>
      <w:r>
        <w:rPr>
          <w:rFonts w:hint="eastAsia"/>
          <w:color w:val="auto"/>
          <w:highlight w:val="none"/>
        </w:rPr>
        <w:t>公共数据应当在保护个人隐私和确保公共安全的前提下，按照“原始数据不出域、数据可用不可见”的要求，以数据中间态、数据产品等形式进行流通交易。</w:t>
      </w:r>
    </w:p>
    <w:p>
      <w:pPr>
        <w:tabs>
          <w:tab w:val="left" w:pos="0"/>
        </w:tabs>
        <w:ind w:firstLine="632" w:firstLineChars="0"/>
        <w:rPr>
          <w:color w:val="auto"/>
          <w:highlight w:val="none"/>
        </w:rPr>
      </w:pPr>
      <w:r>
        <w:rPr>
          <w:rFonts w:hint="eastAsia" w:ascii="黑体" w:hAnsi="黑体" w:eastAsia="黑体" w:cs="黑体"/>
          <w:color w:val="auto"/>
          <w:highlight w:val="none"/>
          <w:lang w:eastAsia="zh-Hans"/>
        </w:rPr>
        <w:t>第二十</w:t>
      </w:r>
      <w:r>
        <w:rPr>
          <w:rFonts w:hint="eastAsia" w:ascii="黑体" w:hAnsi="黑体" w:eastAsia="黑体" w:cs="黑体"/>
          <w:color w:val="auto"/>
          <w:highlight w:val="none"/>
          <w:lang w:val="en-US" w:eastAsia="zh-CN"/>
        </w:rPr>
        <w:t>四</w:t>
      </w:r>
      <w:r>
        <w:rPr>
          <w:rFonts w:hint="eastAsia" w:ascii="黑体" w:hAnsi="黑体" w:eastAsia="黑体" w:cs="黑体"/>
          <w:color w:val="auto"/>
          <w:highlight w:val="none"/>
          <w:lang w:eastAsia="zh-Hans"/>
        </w:rPr>
        <w:t>条（禁止交易</w:t>
      </w:r>
      <w:r>
        <w:rPr>
          <w:rFonts w:hint="eastAsia" w:ascii="黑体" w:hAnsi="黑体" w:eastAsia="黑体" w:cs="黑体"/>
          <w:color w:val="auto"/>
          <w:highlight w:val="none"/>
        </w:rPr>
        <w:t>标的</w:t>
      </w:r>
      <w:r>
        <w:rPr>
          <w:rFonts w:hint="eastAsia" w:ascii="黑体" w:hAnsi="黑体" w:eastAsia="黑体" w:cs="黑体"/>
          <w:color w:val="auto"/>
          <w:highlight w:val="none"/>
          <w:lang w:eastAsia="zh-Hans"/>
        </w:rPr>
        <w:t>）</w:t>
      </w:r>
      <w:r>
        <w:rPr>
          <w:rFonts w:hint="eastAsia"/>
          <w:color w:val="auto"/>
          <w:highlight w:val="none"/>
        </w:rPr>
        <w:t>下列</w:t>
      </w:r>
      <w:r>
        <w:rPr>
          <w:rFonts w:hint="eastAsia"/>
          <w:color w:val="auto"/>
          <w:highlight w:val="none"/>
          <w:lang w:eastAsia="zh-Hans"/>
        </w:rPr>
        <w:t>交易标的</w:t>
      </w:r>
      <w:r>
        <w:rPr>
          <w:rFonts w:hint="eastAsia"/>
          <w:color w:val="auto"/>
          <w:highlight w:val="none"/>
        </w:rPr>
        <w:t>不得进行交易</w:t>
      </w:r>
      <w:r>
        <w:rPr>
          <w:color w:val="auto"/>
          <w:highlight w:val="none"/>
        </w:rPr>
        <w:t>：</w:t>
      </w:r>
    </w:p>
    <w:p>
      <w:pPr>
        <w:ind w:firstLine="632"/>
        <w:rPr>
          <w:color w:val="auto"/>
          <w:highlight w:val="none"/>
        </w:rPr>
      </w:pPr>
      <w:r>
        <w:rPr>
          <w:color w:val="auto"/>
          <w:highlight w:val="none"/>
        </w:rPr>
        <w:t>（</w:t>
      </w:r>
      <w:r>
        <w:rPr>
          <w:rFonts w:hint="eastAsia"/>
          <w:color w:val="auto"/>
          <w:highlight w:val="none"/>
        </w:rPr>
        <w:t>一</w:t>
      </w:r>
      <w:r>
        <w:rPr>
          <w:color w:val="auto"/>
          <w:highlight w:val="none"/>
        </w:rPr>
        <w:t>）危害国家安全</w:t>
      </w:r>
      <w:r>
        <w:rPr>
          <w:rFonts w:hint="eastAsia"/>
          <w:color w:val="auto"/>
          <w:highlight w:val="none"/>
        </w:rPr>
        <w:t>、公共利益</w:t>
      </w:r>
      <w:r>
        <w:rPr>
          <w:color w:val="auto"/>
          <w:highlight w:val="none"/>
        </w:rPr>
        <w:t>和社会稳定</w:t>
      </w:r>
      <w:r>
        <w:rPr>
          <w:rFonts w:hint="eastAsia"/>
          <w:color w:val="auto"/>
          <w:highlight w:val="none"/>
          <w:lang w:eastAsia="zh-Hans"/>
        </w:rPr>
        <w:t>的；</w:t>
      </w:r>
    </w:p>
    <w:p>
      <w:pPr>
        <w:pStyle w:val="2"/>
        <w:ind w:firstLine="632"/>
        <w:rPr>
          <w:color w:val="auto"/>
          <w:highlight w:val="none"/>
        </w:rPr>
      </w:pPr>
      <w:r>
        <w:rPr>
          <w:color w:val="auto"/>
          <w:highlight w:val="none"/>
        </w:rPr>
        <w:t>（</w:t>
      </w:r>
      <w:r>
        <w:rPr>
          <w:rFonts w:hint="eastAsia"/>
          <w:color w:val="auto"/>
          <w:highlight w:val="none"/>
        </w:rPr>
        <w:t>二</w:t>
      </w:r>
      <w:r>
        <w:rPr>
          <w:color w:val="auto"/>
          <w:highlight w:val="none"/>
        </w:rPr>
        <w:t>）</w:t>
      </w:r>
      <w:r>
        <w:rPr>
          <w:rFonts w:hint="eastAsia"/>
          <w:color w:val="auto"/>
          <w:highlight w:val="none"/>
        </w:rPr>
        <w:t>未经合法权利人明确同意，涉及其商业秘密的</w:t>
      </w:r>
      <w:r>
        <w:rPr>
          <w:color w:val="auto"/>
          <w:highlight w:val="none"/>
        </w:rPr>
        <w:t>；</w:t>
      </w:r>
    </w:p>
    <w:p>
      <w:pPr>
        <w:pStyle w:val="2"/>
        <w:ind w:firstLine="632"/>
        <w:rPr>
          <w:color w:val="auto"/>
          <w:highlight w:val="none"/>
        </w:rPr>
      </w:pPr>
      <w:r>
        <w:rPr>
          <w:color w:val="auto"/>
          <w:highlight w:val="none"/>
        </w:rPr>
        <w:t>（</w:t>
      </w:r>
      <w:r>
        <w:rPr>
          <w:rFonts w:hint="eastAsia"/>
          <w:color w:val="auto"/>
          <w:highlight w:val="none"/>
        </w:rPr>
        <w:t>三</w:t>
      </w:r>
      <w:r>
        <w:rPr>
          <w:color w:val="auto"/>
          <w:highlight w:val="none"/>
        </w:rPr>
        <w:t>）未经自然人或者其监护人同意，可直接识别到特定个人的身份数据、敏感数据及财产数据的；</w:t>
      </w:r>
    </w:p>
    <w:p>
      <w:pPr>
        <w:ind w:firstLine="632"/>
        <w:rPr>
          <w:color w:val="auto"/>
          <w:highlight w:val="none"/>
        </w:rPr>
      </w:pPr>
      <w:r>
        <w:rPr>
          <w:color w:val="auto"/>
          <w:highlight w:val="none"/>
        </w:rPr>
        <w:t>（</w:t>
      </w:r>
      <w:r>
        <w:rPr>
          <w:rFonts w:hint="eastAsia"/>
          <w:color w:val="auto"/>
          <w:highlight w:val="none"/>
        </w:rPr>
        <w:t>四</w:t>
      </w:r>
      <w:r>
        <w:rPr>
          <w:color w:val="auto"/>
          <w:highlight w:val="none"/>
        </w:rPr>
        <w:t>）</w:t>
      </w:r>
      <w:r>
        <w:rPr>
          <w:rFonts w:hint="eastAsia"/>
          <w:color w:val="auto"/>
          <w:highlight w:val="none"/>
        </w:rPr>
        <w:t>以欺诈、诱骗、误导等方式或者从非法、违规渠道获取的</w:t>
      </w:r>
      <w:r>
        <w:rPr>
          <w:color w:val="auto"/>
          <w:highlight w:val="none"/>
        </w:rPr>
        <w:t>；</w:t>
      </w:r>
    </w:p>
    <w:p>
      <w:pPr>
        <w:ind w:firstLine="632"/>
        <w:rPr>
          <w:rFonts w:hint="eastAsia"/>
          <w:color w:val="auto"/>
          <w:highlight w:val="none"/>
        </w:rPr>
      </w:pPr>
      <w:r>
        <w:rPr>
          <w:color w:val="auto"/>
          <w:highlight w:val="none"/>
        </w:rPr>
        <w:t>（</w:t>
      </w:r>
      <w:r>
        <w:rPr>
          <w:rFonts w:hint="eastAsia"/>
          <w:color w:val="auto"/>
          <w:highlight w:val="none"/>
        </w:rPr>
        <w:t>五</w:t>
      </w:r>
      <w:r>
        <w:rPr>
          <w:color w:val="auto"/>
          <w:highlight w:val="none"/>
        </w:rPr>
        <w:t>）</w:t>
      </w:r>
      <w:r>
        <w:rPr>
          <w:rFonts w:hint="eastAsia"/>
          <w:color w:val="auto"/>
          <w:highlight w:val="none"/>
        </w:rPr>
        <w:t>法律、法规、规章以及国家有关规定或者</w:t>
      </w:r>
      <w:r>
        <w:rPr>
          <w:rFonts w:hint="eastAsia"/>
          <w:color w:val="auto"/>
          <w:highlight w:val="none"/>
          <w:lang w:eastAsia="zh-Hans"/>
        </w:rPr>
        <w:t>合同</w:t>
      </w:r>
      <w:r>
        <w:rPr>
          <w:rFonts w:hint="eastAsia"/>
          <w:color w:val="auto"/>
          <w:highlight w:val="none"/>
        </w:rPr>
        <w:t>约定</w:t>
      </w:r>
      <w:r>
        <w:rPr>
          <w:rFonts w:hint="eastAsia"/>
          <w:color w:val="auto"/>
          <w:highlight w:val="none"/>
          <w:lang w:eastAsia="zh-Hans"/>
        </w:rPr>
        <w:t>的</w:t>
      </w:r>
      <w:r>
        <w:rPr>
          <w:rFonts w:hint="eastAsia"/>
          <w:color w:val="auto"/>
          <w:highlight w:val="none"/>
        </w:rPr>
        <w:t>禁止交易的其他情形。</w:t>
      </w:r>
    </w:p>
    <w:p>
      <w:pPr>
        <w:rPr>
          <w:rFonts w:hint="eastAsia"/>
          <w:lang w:val="en-US" w:eastAsia="zh-CN"/>
        </w:rPr>
      </w:pPr>
      <w:r>
        <w:rPr>
          <w:rFonts w:hint="eastAsia" w:ascii="黑体" w:hAnsi="黑体" w:eastAsia="黑体" w:cs="黑体"/>
          <w:color w:val="auto"/>
          <w:highlight w:val="none"/>
          <w:lang w:val="en-US" w:eastAsia="zh-Hans"/>
        </w:rPr>
        <w:t>第二十</w:t>
      </w:r>
      <w:r>
        <w:rPr>
          <w:rFonts w:hint="eastAsia" w:ascii="黑体" w:hAnsi="黑体" w:eastAsia="黑体" w:cs="黑体"/>
          <w:color w:val="auto"/>
          <w:highlight w:val="none"/>
          <w:lang w:val="en-US" w:eastAsia="zh-CN"/>
        </w:rPr>
        <w:t>五</w:t>
      </w:r>
      <w:r>
        <w:rPr>
          <w:rFonts w:hint="eastAsia" w:ascii="黑体" w:hAnsi="黑体" w:eastAsia="黑体" w:cs="黑体"/>
          <w:color w:val="auto"/>
          <w:highlight w:val="none"/>
          <w:lang w:val="en-US" w:eastAsia="zh-Hans"/>
        </w:rPr>
        <w:t>条（鼓励交易</w:t>
      </w:r>
      <w:r>
        <w:rPr>
          <w:rFonts w:hint="eastAsia" w:ascii="黑体" w:hAnsi="黑体" w:eastAsia="黑体" w:cs="黑体"/>
          <w:color w:val="auto"/>
          <w:highlight w:val="none"/>
          <w:lang w:val="en-US" w:eastAsia="zh-CN"/>
        </w:rPr>
        <w:t>的情形</w:t>
      </w:r>
      <w:r>
        <w:rPr>
          <w:rFonts w:hint="eastAsia" w:ascii="黑体" w:hAnsi="黑体" w:eastAsia="黑体" w:cs="黑体"/>
          <w:color w:val="auto"/>
          <w:highlight w:val="none"/>
          <w:lang w:val="en-US" w:eastAsia="zh-Hans"/>
        </w:rPr>
        <w:t>）</w:t>
      </w:r>
      <w:r>
        <w:rPr>
          <w:rFonts w:hint="eastAsia"/>
          <w:lang w:val="en-US" w:eastAsia="zh-CN"/>
        </w:rPr>
        <w:t>鼓励以下情形的交易标的在数据交易机构内进行交易：</w:t>
      </w:r>
    </w:p>
    <w:p>
      <w:pPr>
        <w:rPr>
          <w:rFonts w:hint="default"/>
          <w:lang w:val="en-US" w:eastAsia="zh-CN"/>
        </w:rPr>
      </w:pPr>
      <w:r>
        <w:rPr>
          <w:rFonts w:hint="eastAsia"/>
          <w:lang w:val="en-US" w:eastAsia="zh-CN"/>
        </w:rPr>
        <w:t>（一）公共数据经授权运营加工形成的交易标的；</w:t>
      </w:r>
    </w:p>
    <w:p>
      <w:pPr>
        <w:rPr>
          <w:rFonts w:hint="eastAsia"/>
          <w:lang w:val="en-US" w:eastAsia="zh-CN"/>
        </w:rPr>
      </w:pPr>
      <w:r>
        <w:rPr>
          <w:rFonts w:hint="eastAsia"/>
          <w:lang w:val="en-US" w:eastAsia="zh-CN"/>
        </w:rPr>
        <w:t>（二）由财政资金保障运行的公共管理和服务机构采购交易标的；</w:t>
      </w:r>
    </w:p>
    <w:p>
      <w:pPr>
        <w:rPr>
          <w:rFonts w:hint="eastAsia"/>
          <w:lang w:val="en-US" w:eastAsia="zh-CN"/>
        </w:rPr>
      </w:pPr>
      <w:r>
        <w:rPr>
          <w:rFonts w:hint="eastAsia"/>
          <w:lang w:val="en-US" w:eastAsia="zh-CN"/>
        </w:rPr>
        <w:t>（三）国有企业采购或销售的交易标的。</w:t>
      </w:r>
    </w:p>
    <w:p>
      <w:pPr>
        <w:pStyle w:val="2"/>
        <w:ind w:firstLine="632"/>
        <w:rPr>
          <w:rFonts w:hint="default"/>
          <w:color w:val="auto"/>
          <w:highlight w:val="none"/>
        </w:rPr>
      </w:pPr>
      <w:r>
        <w:rPr>
          <w:rFonts w:hint="default"/>
          <w:color w:val="auto"/>
          <w:highlight w:val="none"/>
        </w:rPr>
        <w:t>（</w:t>
      </w:r>
      <w:r>
        <w:rPr>
          <w:rFonts w:hint="eastAsia"/>
          <w:color w:val="auto"/>
          <w:highlight w:val="none"/>
          <w:lang w:val="en-US" w:eastAsia="zh-CN"/>
        </w:rPr>
        <w:t>四</w:t>
      </w:r>
      <w:r>
        <w:rPr>
          <w:rFonts w:hint="default"/>
          <w:color w:val="auto"/>
          <w:highlight w:val="none"/>
        </w:rPr>
        <w:t>）数据交易主体在其经营和其他工作过程中产生并形成的</w:t>
      </w:r>
      <w:r>
        <w:rPr>
          <w:rFonts w:hint="eastAsia"/>
          <w:color w:val="auto"/>
          <w:highlight w:val="none"/>
          <w:lang w:val="en-US" w:eastAsia="zh-CN"/>
        </w:rPr>
        <w:t>交易标的。</w:t>
      </w:r>
    </w:p>
    <w:p>
      <w:pPr>
        <w:pStyle w:val="2"/>
        <w:ind w:firstLine="632"/>
        <w:rPr>
          <w:color w:val="auto"/>
          <w:highlight w:val="none"/>
        </w:rPr>
      </w:pPr>
    </w:p>
    <w:p>
      <w:pPr>
        <w:widowControl/>
        <w:ind w:firstLine="0" w:firstLineChars="0"/>
        <w:jc w:val="center"/>
        <w:outlineLvl w:val="0"/>
        <w:rPr>
          <w:rFonts w:hint="eastAsia" w:ascii="宋体" w:hAnsi="宋体" w:eastAsia="黑体" w:cs="宋体"/>
          <w:bCs/>
          <w:color w:val="auto"/>
          <w:kern w:val="36"/>
          <w:szCs w:val="48"/>
          <w:highlight w:val="none"/>
          <w:lang w:eastAsia="zh-Hans"/>
        </w:rPr>
      </w:pPr>
      <w:bookmarkStart w:id="6" w:name="_Toc30189138"/>
      <w:r>
        <w:rPr>
          <w:rFonts w:hint="eastAsia" w:ascii="宋体" w:hAnsi="宋体" w:eastAsia="黑体" w:cs="宋体"/>
          <w:bCs/>
          <w:color w:val="auto"/>
          <w:kern w:val="36"/>
          <w:szCs w:val="48"/>
          <w:highlight w:val="none"/>
        </w:rPr>
        <w:t>第</w:t>
      </w:r>
      <w:r>
        <w:rPr>
          <w:rFonts w:hint="eastAsia" w:ascii="宋体" w:hAnsi="宋体" w:eastAsia="黑体" w:cs="宋体"/>
          <w:bCs/>
          <w:color w:val="auto"/>
          <w:kern w:val="36"/>
          <w:szCs w:val="48"/>
          <w:highlight w:val="none"/>
          <w:lang w:eastAsia="zh-Hans"/>
        </w:rPr>
        <w:t>五</w:t>
      </w:r>
      <w:r>
        <w:rPr>
          <w:rFonts w:hint="eastAsia" w:ascii="宋体" w:hAnsi="宋体" w:eastAsia="黑体" w:cs="宋体"/>
          <w:bCs/>
          <w:color w:val="auto"/>
          <w:kern w:val="36"/>
          <w:szCs w:val="48"/>
          <w:highlight w:val="none"/>
        </w:rPr>
        <w:t>章</w:t>
      </w:r>
      <w:r>
        <w:rPr>
          <w:rFonts w:ascii="宋体" w:hAnsi="宋体" w:eastAsia="黑体" w:cs="宋体"/>
          <w:bCs/>
          <w:color w:val="auto"/>
          <w:kern w:val="36"/>
          <w:szCs w:val="48"/>
          <w:highlight w:val="none"/>
        </w:rPr>
        <w:t xml:space="preserve"> </w:t>
      </w:r>
      <w:r>
        <w:rPr>
          <w:rFonts w:hint="eastAsia" w:ascii="宋体" w:hAnsi="宋体" w:eastAsia="黑体" w:cs="宋体"/>
          <w:bCs/>
          <w:color w:val="auto"/>
          <w:kern w:val="36"/>
          <w:szCs w:val="48"/>
          <w:highlight w:val="none"/>
        </w:rPr>
        <w:t>交易</w:t>
      </w:r>
      <w:r>
        <w:rPr>
          <w:rFonts w:hint="eastAsia" w:ascii="宋体" w:hAnsi="宋体" w:eastAsia="黑体" w:cs="宋体"/>
          <w:bCs/>
          <w:color w:val="auto"/>
          <w:kern w:val="36"/>
          <w:szCs w:val="48"/>
          <w:highlight w:val="none"/>
          <w:lang w:eastAsia="zh-Hans"/>
        </w:rPr>
        <w:t>流程</w:t>
      </w:r>
      <w:bookmarkEnd w:id="6"/>
    </w:p>
    <w:p>
      <w:pPr>
        <w:ind w:firstLine="632"/>
        <w:rPr>
          <w:color w:val="auto"/>
          <w:highlight w:val="none"/>
          <w:lang w:eastAsia="zh-Hans"/>
        </w:rPr>
      </w:pPr>
    </w:p>
    <w:p>
      <w:pPr>
        <w:tabs>
          <w:tab w:val="left" w:pos="0"/>
        </w:tabs>
        <w:ind w:firstLine="632" w:firstLineChars="0"/>
        <w:rPr>
          <w:rFonts w:hint="eastAsia"/>
          <w:color w:val="auto"/>
          <w:highlight w:val="none"/>
          <w:lang w:eastAsia="zh-Hans"/>
        </w:rPr>
      </w:pPr>
      <w:r>
        <w:rPr>
          <w:rFonts w:hint="eastAsia" w:ascii="黑体" w:hAnsi="黑体" w:eastAsia="黑体" w:cs="黑体"/>
          <w:color w:val="auto"/>
          <w:highlight w:val="none"/>
          <w:lang w:eastAsia="zh-Hans"/>
        </w:rPr>
        <w:t>第二十</w:t>
      </w:r>
      <w:r>
        <w:rPr>
          <w:rFonts w:hint="eastAsia" w:ascii="黑体" w:hAnsi="黑体" w:eastAsia="黑体" w:cs="黑体"/>
          <w:color w:val="auto"/>
          <w:highlight w:val="none"/>
          <w:lang w:val="en-US" w:eastAsia="zh-CN"/>
        </w:rPr>
        <w:t>六</w:t>
      </w:r>
      <w:r>
        <w:rPr>
          <w:rFonts w:hint="eastAsia" w:ascii="黑体" w:hAnsi="黑体" w:eastAsia="黑体" w:cs="黑体"/>
          <w:color w:val="auto"/>
          <w:highlight w:val="none"/>
          <w:lang w:eastAsia="zh-Hans"/>
        </w:rPr>
        <w:t>条（数据交易流程）</w:t>
      </w:r>
      <w:r>
        <w:rPr>
          <w:rFonts w:hint="eastAsia"/>
          <w:color w:val="auto"/>
          <w:highlight w:val="none"/>
          <w:lang w:eastAsia="zh-Hans"/>
        </w:rPr>
        <w:t>数据交易流程一般包括</w:t>
      </w:r>
      <w:r>
        <w:rPr>
          <w:rFonts w:hint="eastAsia"/>
          <w:color w:val="auto"/>
          <w:highlight w:val="none"/>
          <w:lang w:val="en-US" w:eastAsia="zh-CN"/>
        </w:rPr>
        <w:t>标的审核、</w:t>
      </w:r>
      <w:r>
        <w:rPr>
          <w:rFonts w:hint="eastAsia"/>
          <w:color w:val="auto"/>
          <w:highlight w:val="none"/>
          <w:lang w:eastAsia="zh-Hans"/>
        </w:rPr>
        <w:t>交易申请、交易磋商、交易实施、交付结算、争议解决等环节。</w:t>
      </w:r>
    </w:p>
    <w:p>
      <w:pPr>
        <w:tabs>
          <w:tab w:val="left" w:pos="0"/>
        </w:tabs>
        <w:ind w:firstLine="632" w:firstLineChars="0"/>
        <w:rPr>
          <w:rFonts w:hint="eastAsia"/>
          <w:lang w:eastAsia="zh-CN"/>
        </w:rPr>
      </w:pPr>
      <w:r>
        <w:rPr>
          <w:rFonts w:hint="eastAsia" w:ascii="黑体" w:hAnsi="黑体" w:eastAsia="黑体" w:cs="黑体"/>
          <w:color w:val="auto"/>
          <w:highlight w:val="none"/>
          <w:lang w:val="en-US" w:eastAsia="zh-CN"/>
        </w:rPr>
        <w:t>第二十七条（标的审核）</w:t>
      </w:r>
      <w:r>
        <w:rPr>
          <w:rFonts w:hint="eastAsia"/>
          <w:lang w:eastAsia="zh-Hans"/>
        </w:rPr>
        <w:t>数据供方应当向数据交易机构提供依法依规获取的数据登记凭证或交易标的来源、权属等方面的说明材料，以及拥有交易标的完整相关权益的承诺。</w:t>
      </w:r>
    </w:p>
    <w:p>
      <w:pPr>
        <w:rPr>
          <w:rFonts w:hint="default"/>
          <w:lang w:val="en-US" w:eastAsia="zh-CN"/>
        </w:rPr>
      </w:pPr>
      <w:r>
        <w:rPr>
          <w:rFonts w:hint="eastAsia"/>
          <w:lang w:val="en-US" w:eastAsia="zh-CN"/>
        </w:rPr>
        <w:t>数据交易机构应当对数据供方提交的材料进行审核，确保交易标的获取渠道合法、权属清晰无争议。</w:t>
      </w:r>
    </w:p>
    <w:p>
      <w:pPr>
        <w:rPr>
          <w:rFonts w:hint="eastAsia"/>
          <w:lang w:val="en-US" w:eastAsia="zh-CN"/>
        </w:rPr>
      </w:pPr>
      <w:r>
        <w:rPr>
          <w:rFonts w:hint="eastAsia"/>
          <w:lang w:val="en-US" w:eastAsia="zh-CN"/>
        </w:rPr>
        <w:t>数据商应当对其开发、发布、销售的交易标的进行严格审查，确保交易标的来源合法、内容真实、质量可靠。</w:t>
      </w:r>
    </w:p>
    <w:p>
      <w:pPr>
        <w:rPr>
          <w:rFonts w:hint="eastAsia"/>
          <w:lang w:eastAsia="zh-Hans"/>
        </w:rPr>
      </w:pPr>
      <w:r>
        <w:rPr>
          <w:rFonts w:hint="eastAsia"/>
          <w:lang w:eastAsia="zh-Hans"/>
        </w:rPr>
        <w:t>第三方服务机构</w:t>
      </w:r>
      <w:r>
        <w:rPr>
          <w:rFonts w:hint="eastAsia"/>
          <w:lang w:val="en-US" w:eastAsia="zh-CN"/>
        </w:rPr>
        <w:t>可根据</w:t>
      </w:r>
      <w:r>
        <w:rPr>
          <w:rFonts w:hint="eastAsia"/>
          <w:lang w:eastAsia="zh-Hans"/>
        </w:rPr>
        <w:t>数据</w:t>
      </w:r>
      <w:r>
        <w:rPr>
          <w:rFonts w:hint="eastAsia"/>
          <w:lang w:val="en-US" w:eastAsia="zh-CN"/>
        </w:rPr>
        <w:t>供方或数据交易机构的</w:t>
      </w:r>
      <w:r>
        <w:rPr>
          <w:rFonts w:hint="eastAsia"/>
          <w:lang w:eastAsia="zh-Hans"/>
        </w:rPr>
        <w:t>委托</w:t>
      </w:r>
      <w:r>
        <w:rPr>
          <w:rFonts w:hint="eastAsia"/>
          <w:lang w:eastAsia="zh-CN"/>
        </w:rPr>
        <w:t>，</w:t>
      </w:r>
      <w:r>
        <w:rPr>
          <w:rFonts w:hint="eastAsia"/>
          <w:lang w:eastAsia="zh-Hans"/>
        </w:rPr>
        <w:t>开展</w:t>
      </w:r>
      <w:r>
        <w:rPr>
          <w:rFonts w:hint="default"/>
          <w:highlight w:val="none"/>
          <w:lang w:val="en-US" w:eastAsia="zh-CN"/>
        </w:rPr>
        <w:t>数据合规评估等</w:t>
      </w:r>
      <w:r>
        <w:rPr>
          <w:rFonts w:hint="eastAsia"/>
          <w:lang w:val="en-US" w:eastAsia="zh-CN"/>
        </w:rPr>
        <w:t>第三方专业</w:t>
      </w:r>
      <w:r>
        <w:rPr>
          <w:rFonts w:hint="eastAsia"/>
          <w:lang w:eastAsia="zh-Hans"/>
        </w:rPr>
        <w:t>服务。</w:t>
      </w:r>
    </w:p>
    <w:p>
      <w:pPr>
        <w:tabs>
          <w:tab w:val="left" w:pos="0"/>
        </w:tabs>
        <w:ind w:firstLine="632" w:firstLineChars="0"/>
        <w:rPr>
          <w:rFonts w:hint="eastAsia"/>
          <w:color w:val="auto"/>
          <w:highlight w:val="none"/>
        </w:rPr>
      </w:pPr>
      <w:r>
        <w:rPr>
          <w:rFonts w:hint="eastAsia" w:ascii="黑体" w:hAnsi="黑体" w:eastAsia="黑体" w:cs="黑体"/>
          <w:color w:val="auto"/>
          <w:highlight w:val="none"/>
          <w:lang w:eastAsia="zh-Hans"/>
        </w:rPr>
        <w:t>第二十</w:t>
      </w:r>
      <w:r>
        <w:rPr>
          <w:rFonts w:hint="eastAsia" w:ascii="黑体" w:hAnsi="黑体" w:eastAsia="黑体" w:cs="黑体"/>
          <w:color w:val="auto"/>
          <w:highlight w:val="none"/>
          <w:lang w:val="en-US" w:eastAsia="zh-CN"/>
        </w:rPr>
        <w:t>八</w:t>
      </w:r>
      <w:r>
        <w:rPr>
          <w:rFonts w:hint="eastAsia" w:ascii="黑体" w:hAnsi="黑体" w:eastAsia="黑体" w:cs="黑体"/>
          <w:color w:val="auto"/>
          <w:highlight w:val="none"/>
          <w:lang w:eastAsia="zh-Hans"/>
        </w:rPr>
        <w:t>条（交易申请）</w:t>
      </w:r>
      <w:r>
        <w:rPr>
          <w:rFonts w:hint="eastAsia"/>
          <w:color w:val="auto"/>
          <w:highlight w:val="none"/>
        </w:rPr>
        <w:t>在交易申请环节，数据供方应</w:t>
      </w:r>
      <w:r>
        <w:rPr>
          <w:rFonts w:hint="eastAsia"/>
          <w:color w:val="auto"/>
          <w:highlight w:val="none"/>
          <w:lang w:eastAsia="zh-Hans"/>
        </w:rPr>
        <w:t>当</w:t>
      </w:r>
      <w:r>
        <w:rPr>
          <w:rFonts w:hint="eastAsia"/>
          <w:color w:val="auto"/>
          <w:highlight w:val="none"/>
        </w:rPr>
        <w:t>明确</w:t>
      </w:r>
      <w:r>
        <w:rPr>
          <w:color w:val="auto"/>
          <w:highlight w:val="none"/>
        </w:rPr>
        <w:t>交易标的</w:t>
      </w:r>
      <w:r>
        <w:rPr>
          <w:rFonts w:hint="eastAsia"/>
          <w:color w:val="auto"/>
          <w:highlight w:val="none"/>
        </w:rPr>
        <w:t>的来源、内容、权属</w:t>
      </w:r>
      <w:r>
        <w:rPr>
          <w:rFonts w:hint="eastAsia"/>
          <w:color w:val="auto"/>
          <w:highlight w:val="none"/>
          <w:lang w:eastAsia="zh-Hans"/>
        </w:rPr>
        <w:t>、</w:t>
      </w:r>
      <w:r>
        <w:rPr>
          <w:rFonts w:hint="eastAsia"/>
          <w:color w:val="auto"/>
          <w:highlight w:val="none"/>
        </w:rPr>
        <w:t>使用范围</w:t>
      </w:r>
      <w:r>
        <w:rPr>
          <w:rFonts w:hint="eastAsia"/>
          <w:color w:val="auto"/>
          <w:highlight w:val="none"/>
          <w:lang w:eastAsia="zh-Hans"/>
        </w:rPr>
        <w:t>、更新频率、计费方式等信息</w:t>
      </w:r>
      <w:r>
        <w:rPr>
          <w:rFonts w:hint="eastAsia"/>
          <w:color w:val="auto"/>
          <w:highlight w:val="none"/>
        </w:rPr>
        <w:t>，提供</w:t>
      </w:r>
      <w:r>
        <w:rPr>
          <w:color w:val="auto"/>
          <w:highlight w:val="none"/>
        </w:rPr>
        <w:t>交易标的</w:t>
      </w:r>
      <w:r>
        <w:rPr>
          <w:rFonts w:hint="eastAsia"/>
          <w:color w:val="auto"/>
          <w:highlight w:val="none"/>
        </w:rPr>
        <w:t>的描述信息和样本数据</w:t>
      </w:r>
      <w:r>
        <w:rPr>
          <w:rFonts w:hint="eastAsia"/>
          <w:color w:val="auto"/>
          <w:highlight w:val="none"/>
          <w:lang w:eastAsia="zh-CN"/>
        </w:rPr>
        <w:t>。</w:t>
      </w:r>
      <w:r>
        <w:rPr>
          <w:rFonts w:hint="eastAsia"/>
          <w:color w:val="auto"/>
          <w:highlight w:val="none"/>
        </w:rPr>
        <w:t>数据需方应</w:t>
      </w:r>
      <w:r>
        <w:rPr>
          <w:rFonts w:hint="eastAsia"/>
          <w:color w:val="auto"/>
          <w:highlight w:val="none"/>
          <w:lang w:eastAsia="zh-Hans"/>
        </w:rPr>
        <w:t>当</w:t>
      </w:r>
      <w:r>
        <w:rPr>
          <w:rFonts w:hint="eastAsia"/>
          <w:color w:val="auto"/>
          <w:highlight w:val="none"/>
        </w:rPr>
        <w:t>披露数据需求内容、数据用途等信息。</w:t>
      </w:r>
    </w:p>
    <w:p>
      <w:pPr>
        <w:tabs>
          <w:tab w:val="left" w:pos="0"/>
        </w:tabs>
        <w:ind w:firstLine="632" w:firstLineChars="0"/>
        <w:rPr>
          <w:rFonts w:hint="eastAsia"/>
          <w:color w:val="auto"/>
          <w:highlight w:val="none"/>
        </w:rPr>
      </w:pPr>
      <w:r>
        <w:rPr>
          <w:color w:val="auto"/>
          <w:highlight w:val="none"/>
        </w:rPr>
        <w:t>数据交易机构</w:t>
      </w:r>
      <w:r>
        <w:rPr>
          <w:rFonts w:hint="eastAsia"/>
          <w:color w:val="auto"/>
          <w:highlight w:val="none"/>
        </w:rPr>
        <w:t>应</w:t>
      </w:r>
      <w:r>
        <w:rPr>
          <w:rFonts w:hint="eastAsia"/>
          <w:color w:val="auto"/>
          <w:highlight w:val="none"/>
          <w:lang w:eastAsia="zh-Hans"/>
        </w:rPr>
        <w:t>当</w:t>
      </w:r>
      <w:r>
        <w:rPr>
          <w:rFonts w:hint="eastAsia"/>
          <w:color w:val="auto"/>
          <w:highlight w:val="none"/>
        </w:rPr>
        <w:t>对数据供需双方披露信息进行审核，督促双方依法及时、准确地披露</w:t>
      </w:r>
      <w:r>
        <w:rPr>
          <w:rFonts w:hint="eastAsia"/>
          <w:color w:val="auto"/>
          <w:highlight w:val="none"/>
          <w:lang w:eastAsia="zh-Hans"/>
        </w:rPr>
        <w:t>相关</w:t>
      </w:r>
      <w:r>
        <w:rPr>
          <w:rFonts w:hint="eastAsia"/>
          <w:color w:val="auto"/>
          <w:highlight w:val="none"/>
        </w:rPr>
        <w:t>信息。</w:t>
      </w:r>
    </w:p>
    <w:p>
      <w:pPr>
        <w:tabs>
          <w:tab w:val="left" w:pos="0"/>
        </w:tabs>
        <w:ind w:firstLine="632" w:firstLineChars="0"/>
        <w:rPr>
          <w:rFonts w:hint="eastAsia"/>
          <w:color w:val="auto"/>
          <w:highlight w:val="none"/>
        </w:rPr>
      </w:pPr>
      <w:r>
        <w:rPr>
          <w:rFonts w:hint="eastAsia" w:ascii="黑体" w:hAnsi="黑体" w:eastAsia="黑体" w:cs="黑体"/>
          <w:color w:val="auto"/>
          <w:highlight w:val="none"/>
          <w:lang w:eastAsia="zh-Hans"/>
        </w:rPr>
        <w:t>第</w:t>
      </w:r>
      <w:r>
        <w:rPr>
          <w:rFonts w:hint="default" w:ascii="黑体" w:hAnsi="黑体" w:eastAsia="黑体" w:cs="黑体"/>
          <w:color w:val="auto"/>
          <w:highlight w:val="none"/>
          <w:lang w:val="en-US" w:eastAsia="zh-CN"/>
        </w:rPr>
        <w:t>二十</w:t>
      </w:r>
      <w:r>
        <w:rPr>
          <w:rFonts w:hint="eastAsia" w:ascii="黑体" w:hAnsi="黑体" w:eastAsia="黑体" w:cs="黑体"/>
          <w:color w:val="auto"/>
          <w:highlight w:val="none"/>
          <w:lang w:val="en-US" w:eastAsia="zh-CN"/>
        </w:rPr>
        <w:t>九</w:t>
      </w:r>
      <w:r>
        <w:rPr>
          <w:rFonts w:hint="eastAsia" w:ascii="黑体" w:hAnsi="黑体" w:eastAsia="黑体" w:cs="黑体"/>
          <w:color w:val="auto"/>
          <w:highlight w:val="none"/>
          <w:lang w:eastAsia="zh-Hans"/>
        </w:rPr>
        <w:t>条（交易磋商）</w:t>
      </w:r>
      <w:r>
        <w:rPr>
          <w:rFonts w:hint="eastAsia"/>
          <w:color w:val="auto"/>
          <w:highlight w:val="none"/>
        </w:rPr>
        <w:t>在交易磋商环节，数据供需双方</w:t>
      </w:r>
      <w:r>
        <w:rPr>
          <w:rFonts w:hint="eastAsia"/>
          <w:color w:val="auto"/>
          <w:highlight w:val="none"/>
          <w:lang w:eastAsia="zh-Hans"/>
        </w:rPr>
        <w:t>应当</w:t>
      </w:r>
      <w:r>
        <w:rPr>
          <w:rFonts w:hint="eastAsia"/>
          <w:color w:val="auto"/>
          <w:highlight w:val="none"/>
        </w:rPr>
        <w:t>对交易</w:t>
      </w:r>
      <w:r>
        <w:rPr>
          <w:rFonts w:hint="eastAsia"/>
          <w:color w:val="auto"/>
          <w:highlight w:val="none"/>
          <w:lang w:eastAsia="zh-Hans"/>
        </w:rPr>
        <w:t>标的</w:t>
      </w:r>
      <w:r>
        <w:rPr>
          <w:rFonts w:hint="eastAsia"/>
          <w:color w:val="auto"/>
          <w:highlight w:val="none"/>
        </w:rPr>
        <w:t>的用途、使用范围、交易方式</w:t>
      </w:r>
      <w:r>
        <w:rPr>
          <w:rFonts w:hint="eastAsia"/>
          <w:color w:val="auto"/>
          <w:highlight w:val="none"/>
          <w:lang w:eastAsia="zh-Hans"/>
        </w:rPr>
        <w:t>、</w:t>
      </w:r>
      <w:r>
        <w:rPr>
          <w:rFonts w:hint="eastAsia"/>
          <w:color w:val="auto"/>
          <w:highlight w:val="none"/>
        </w:rPr>
        <w:t>使用期限</w:t>
      </w:r>
      <w:r>
        <w:rPr>
          <w:rFonts w:hint="eastAsia"/>
          <w:color w:val="auto"/>
          <w:highlight w:val="none"/>
          <w:lang w:eastAsia="zh-Hans"/>
        </w:rPr>
        <w:t>和交易价格</w:t>
      </w:r>
      <w:r>
        <w:rPr>
          <w:rFonts w:hint="eastAsia"/>
          <w:color w:val="auto"/>
          <w:highlight w:val="none"/>
        </w:rPr>
        <w:t>等进行磋商，达成交易共识。</w:t>
      </w:r>
    </w:p>
    <w:p>
      <w:pPr>
        <w:tabs>
          <w:tab w:val="left" w:pos="0"/>
        </w:tabs>
        <w:ind w:firstLine="632" w:firstLineChars="0"/>
        <w:rPr>
          <w:color w:val="auto"/>
          <w:highlight w:val="none"/>
        </w:rPr>
      </w:pPr>
      <w:r>
        <w:rPr>
          <w:rFonts w:hint="eastAsia"/>
          <w:color w:val="auto"/>
          <w:highlight w:val="none"/>
        </w:rPr>
        <w:t>数据交易机构可以根据数据供需双方需求提供用于测试样例数据的实验环境，保障测试实验环境安全。</w:t>
      </w:r>
    </w:p>
    <w:p>
      <w:pPr>
        <w:ind w:firstLine="632"/>
        <w:rPr>
          <w:color w:val="auto"/>
          <w:highlight w:val="none"/>
        </w:rPr>
      </w:pPr>
      <w:r>
        <w:rPr>
          <w:rFonts w:hint="eastAsia"/>
          <w:color w:val="auto"/>
          <w:highlight w:val="none"/>
        </w:rPr>
        <w:t>数据供需双方按照平等、公平、自愿的原则，</w:t>
      </w:r>
      <w:r>
        <w:rPr>
          <w:rFonts w:hint="eastAsia"/>
          <w:color w:val="auto"/>
          <w:highlight w:val="none"/>
          <w:lang w:val="en-US" w:eastAsia="zh-CN"/>
        </w:rPr>
        <w:t>可结合成本、应用场景等</w:t>
      </w:r>
      <w:r>
        <w:rPr>
          <w:rFonts w:hint="eastAsia"/>
          <w:color w:val="auto"/>
          <w:highlight w:val="none"/>
        </w:rPr>
        <w:t>协商确定交易价格，也可委托</w:t>
      </w:r>
      <w:r>
        <w:rPr>
          <w:rFonts w:hint="default"/>
          <w:color w:val="auto"/>
          <w:highlight w:val="none"/>
          <w:lang w:val="en-US" w:eastAsia="zh-CN"/>
        </w:rPr>
        <w:t>第三方专业服务</w:t>
      </w:r>
      <w:r>
        <w:rPr>
          <w:rFonts w:hint="eastAsia"/>
          <w:color w:val="auto"/>
          <w:highlight w:val="none"/>
        </w:rPr>
        <w:t>机构出具评估报告，为交易定价提供参考。</w:t>
      </w:r>
    </w:p>
    <w:p>
      <w:pPr>
        <w:pStyle w:val="2"/>
      </w:pPr>
      <w:r>
        <w:rPr>
          <w:rFonts w:hint="eastAsia"/>
          <w:lang w:val="en-US" w:eastAsia="zh-CN"/>
        </w:rPr>
        <w:t>数据商为供需双方提供服务</w:t>
      </w:r>
      <w:r>
        <w:rPr>
          <w:lang w:val="en-US" w:eastAsia="zh-CN"/>
        </w:rPr>
        <w:t>时，</w:t>
      </w:r>
      <w:r>
        <w:rPr>
          <w:rFonts w:hint="eastAsia"/>
          <w:lang w:val="en-US" w:eastAsia="zh-CN"/>
        </w:rPr>
        <w:t>应当为委托人开展</w:t>
      </w:r>
      <w:r>
        <w:rPr>
          <w:lang w:val="en-US" w:eastAsia="zh-CN"/>
        </w:rPr>
        <w:t>交易磋商。</w:t>
      </w:r>
    </w:p>
    <w:p>
      <w:pPr>
        <w:tabs>
          <w:tab w:val="left" w:pos="0"/>
        </w:tabs>
        <w:ind w:firstLine="632" w:firstLineChars="0"/>
        <w:rPr>
          <w:rFonts w:hint="eastAsia"/>
          <w:color w:val="auto"/>
          <w:highlight w:val="none"/>
          <w:lang w:eastAsia="zh-Hans"/>
        </w:rPr>
      </w:pPr>
      <w:r>
        <w:rPr>
          <w:rFonts w:hint="eastAsia" w:ascii="黑体" w:hAnsi="黑体" w:eastAsia="黑体" w:cs="黑体"/>
          <w:color w:val="auto"/>
          <w:highlight w:val="none"/>
          <w:lang w:eastAsia="zh-Hans"/>
        </w:rPr>
        <w:t>第</w:t>
      </w:r>
      <w:r>
        <w:rPr>
          <w:rFonts w:hint="eastAsia" w:ascii="黑体" w:hAnsi="黑体" w:eastAsia="黑体" w:cs="黑体"/>
          <w:color w:val="auto"/>
          <w:highlight w:val="none"/>
          <w:lang w:val="en-US" w:eastAsia="zh-CN"/>
        </w:rPr>
        <w:t>三十</w:t>
      </w:r>
      <w:r>
        <w:rPr>
          <w:rFonts w:hint="eastAsia" w:ascii="黑体" w:hAnsi="黑体" w:eastAsia="黑体" w:cs="黑体"/>
          <w:color w:val="auto"/>
          <w:highlight w:val="none"/>
          <w:lang w:eastAsia="zh-Hans"/>
        </w:rPr>
        <w:t>条（交易实施）</w:t>
      </w:r>
      <w:r>
        <w:rPr>
          <w:rFonts w:hint="eastAsia"/>
          <w:color w:val="auto"/>
          <w:highlight w:val="none"/>
          <w:lang w:eastAsia="zh-Hans"/>
        </w:rPr>
        <w:t>在交易实施环节，数据供需双方可以通过数据交易</w:t>
      </w:r>
      <w:r>
        <w:rPr>
          <w:rFonts w:hint="eastAsia"/>
          <w:color w:val="auto"/>
          <w:highlight w:val="none"/>
        </w:rPr>
        <w:t>机构</w:t>
      </w:r>
      <w:r>
        <w:rPr>
          <w:rFonts w:hint="eastAsia"/>
          <w:color w:val="auto"/>
          <w:highlight w:val="none"/>
          <w:lang w:eastAsia="zh-Hans"/>
        </w:rPr>
        <w:t>签署交易合同，明确交易标的内容、用途、质量、交易方式、交易金额、使用期限、安全责任、保密条款等内容。</w:t>
      </w:r>
    </w:p>
    <w:p>
      <w:pPr>
        <w:pStyle w:val="2"/>
        <w:rPr>
          <w:rFonts w:hint="eastAsia"/>
          <w:highlight w:val="none"/>
          <w:lang w:eastAsia="zh-Hans"/>
        </w:rPr>
      </w:pPr>
      <w:r>
        <w:rPr>
          <w:rFonts w:hint="eastAsia"/>
          <w:highlight w:val="none"/>
          <w:lang w:val="en-US" w:eastAsia="zh-CN"/>
        </w:rPr>
        <w:t>第三方专业服务机构</w:t>
      </w:r>
      <w:r>
        <w:rPr>
          <w:rFonts w:hint="eastAsia"/>
          <w:highlight w:val="none"/>
          <w:lang w:val="en-US" w:eastAsia="zh-Hans"/>
        </w:rPr>
        <w:t>可根据供需双方的要求</w:t>
      </w:r>
      <w:r>
        <w:rPr>
          <w:rFonts w:hint="eastAsia"/>
          <w:highlight w:val="none"/>
          <w:lang w:val="en-US" w:eastAsia="zh-CN"/>
        </w:rPr>
        <w:t>，</w:t>
      </w:r>
      <w:r>
        <w:rPr>
          <w:rFonts w:hint="eastAsia"/>
          <w:highlight w:val="none"/>
          <w:lang w:eastAsia="zh-Hans"/>
        </w:rPr>
        <w:t>按照独立、公开、公正原则，</w:t>
      </w:r>
      <w:r>
        <w:rPr>
          <w:rFonts w:hint="eastAsia"/>
          <w:highlight w:val="none"/>
          <w:lang w:val="en-US" w:eastAsia="zh-Hans"/>
        </w:rPr>
        <w:t>提供合同审计、</w:t>
      </w:r>
      <w:r>
        <w:rPr>
          <w:rFonts w:hint="eastAsia"/>
          <w:highlight w:val="none"/>
          <w:lang w:val="en-US" w:eastAsia="zh-CN"/>
        </w:rPr>
        <w:t>质量评价、</w:t>
      </w:r>
      <w:r>
        <w:rPr>
          <w:rFonts w:hint="eastAsia"/>
          <w:highlight w:val="none"/>
          <w:lang w:val="en-US" w:eastAsia="zh-Hans"/>
        </w:rPr>
        <w:t>资产评估</w:t>
      </w:r>
      <w:r>
        <w:rPr>
          <w:rFonts w:hint="eastAsia"/>
          <w:highlight w:val="none"/>
          <w:lang w:val="en-US" w:eastAsia="zh-CN"/>
        </w:rPr>
        <w:t>、安全审计、风险评估</w:t>
      </w:r>
      <w:r>
        <w:rPr>
          <w:rFonts w:hint="eastAsia"/>
          <w:highlight w:val="none"/>
          <w:lang w:val="en-US" w:eastAsia="zh-Hans"/>
        </w:rPr>
        <w:t>等</w:t>
      </w:r>
      <w:r>
        <w:rPr>
          <w:rFonts w:hint="eastAsia"/>
          <w:highlight w:val="none"/>
          <w:lang w:val="en-US" w:eastAsia="zh-CN"/>
        </w:rPr>
        <w:t>第三方</w:t>
      </w:r>
      <w:r>
        <w:rPr>
          <w:rFonts w:hint="eastAsia"/>
          <w:highlight w:val="none"/>
          <w:lang w:val="en-US" w:eastAsia="zh-Hans"/>
        </w:rPr>
        <w:t>专业服务内容。</w:t>
      </w:r>
    </w:p>
    <w:p>
      <w:pPr>
        <w:tabs>
          <w:tab w:val="left" w:pos="0"/>
        </w:tabs>
        <w:ind w:firstLine="632" w:firstLineChars="0"/>
        <w:rPr>
          <w:color w:val="auto"/>
          <w:highlight w:val="none"/>
          <w:lang w:eastAsia="zh-Hans"/>
        </w:rPr>
      </w:pPr>
      <w:r>
        <w:rPr>
          <w:color w:val="auto"/>
          <w:highlight w:val="none"/>
          <w:lang w:eastAsia="zh-Hans"/>
        </w:rPr>
        <w:t>数据交易机构</w:t>
      </w:r>
      <w:r>
        <w:rPr>
          <w:rFonts w:hint="eastAsia"/>
          <w:color w:val="auto"/>
          <w:highlight w:val="none"/>
          <w:lang w:eastAsia="zh-Hans"/>
        </w:rPr>
        <w:t>应当对数据交易合同进行审核并备份存证</w:t>
      </w:r>
      <w:r>
        <w:rPr>
          <w:rFonts w:hint="eastAsia"/>
          <w:color w:val="auto"/>
          <w:highlight w:val="none"/>
        </w:rPr>
        <w:t>。</w:t>
      </w:r>
    </w:p>
    <w:p>
      <w:pPr>
        <w:widowControl/>
        <w:tabs>
          <w:tab w:val="left" w:pos="0"/>
        </w:tabs>
        <w:ind w:firstLine="632" w:firstLineChars="0"/>
        <w:jc w:val="left"/>
        <w:rPr>
          <w:color w:val="auto"/>
          <w:highlight w:val="none"/>
          <w:lang w:eastAsia="zh-Hans"/>
        </w:rPr>
      </w:pPr>
      <w:r>
        <w:rPr>
          <w:rFonts w:hint="eastAsia" w:ascii="黑体" w:hAnsi="黑体" w:eastAsia="黑体" w:cs="黑体"/>
          <w:color w:val="auto"/>
          <w:highlight w:val="none"/>
          <w:lang w:eastAsia="zh-Hans"/>
        </w:rPr>
        <w:t>第三十</w:t>
      </w:r>
      <w:r>
        <w:rPr>
          <w:rFonts w:hint="eastAsia" w:ascii="黑体" w:hAnsi="黑体" w:eastAsia="黑体" w:cs="黑体"/>
          <w:color w:val="auto"/>
          <w:highlight w:val="none"/>
          <w:lang w:val="en-US" w:eastAsia="zh-CN"/>
        </w:rPr>
        <w:t>一</w:t>
      </w:r>
      <w:r>
        <w:rPr>
          <w:rFonts w:hint="eastAsia" w:ascii="黑体" w:hAnsi="黑体" w:eastAsia="黑体" w:cs="黑体"/>
          <w:color w:val="auto"/>
          <w:highlight w:val="none"/>
          <w:lang w:eastAsia="zh-Hans"/>
        </w:rPr>
        <w:t>条（交付结算）</w:t>
      </w:r>
      <w:r>
        <w:rPr>
          <w:rFonts w:hint="eastAsia"/>
          <w:color w:val="auto"/>
          <w:highlight w:val="none"/>
          <w:lang w:eastAsia="zh-Hans"/>
        </w:rPr>
        <w:t>在交付结算环节，数据供需双方应当依法自主约定</w:t>
      </w:r>
      <w:r>
        <w:rPr>
          <w:rFonts w:hint="eastAsia"/>
          <w:color w:val="auto"/>
          <w:highlight w:val="none"/>
        </w:rPr>
        <w:t>交易标的</w:t>
      </w:r>
      <w:r>
        <w:rPr>
          <w:rFonts w:hint="eastAsia"/>
          <w:color w:val="auto"/>
          <w:highlight w:val="none"/>
          <w:lang w:eastAsia="zh-Hans"/>
        </w:rPr>
        <w:t>的交付方式，并按照</w:t>
      </w:r>
      <w:r>
        <w:rPr>
          <w:rFonts w:hint="eastAsia"/>
          <w:color w:val="auto"/>
          <w:highlight w:val="none"/>
        </w:rPr>
        <w:t>约定</w:t>
      </w:r>
      <w:r>
        <w:rPr>
          <w:rFonts w:hint="eastAsia"/>
          <w:color w:val="auto"/>
          <w:highlight w:val="none"/>
          <w:lang w:eastAsia="zh-Hans"/>
        </w:rPr>
        <w:t>完成数据交付和资金结算。</w:t>
      </w:r>
    </w:p>
    <w:p>
      <w:pPr>
        <w:widowControl/>
        <w:numPr>
          <w:ilvl w:val="255"/>
          <w:numId w:val="0"/>
        </w:numPr>
        <w:ind w:firstLine="632"/>
        <w:jc w:val="left"/>
        <w:rPr>
          <w:rFonts w:hint="eastAsia" w:eastAsia="FangSong_GB2312"/>
          <w:lang w:val="en-US" w:eastAsia="zh-CN"/>
        </w:rPr>
      </w:pPr>
      <w:r>
        <w:rPr>
          <w:rFonts w:hint="eastAsia" w:ascii="黑体" w:hAnsi="黑体" w:eastAsia="黑体" w:cs="黑体"/>
          <w:color w:val="auto"/>
          <w:highlight w:val="none"/>
          <w:lang w:eastAsia="zh-Hans"/>
        </w:rPr>
        <w:t>第三十</w:t>
      </w:r>
      <w:r>
        <w:rPr>
          <w:rFonts w:hint="eastAsia" w:ascii="黑体" w:hAnsi="黑体" w:eastAsia="黑体" w:cs="黑体"/>
          <w:color w:val="auto"/>
          <w:highlight w:val="none"/>
          <w:lang w:val="en-US" w:eastAsia="zh-CN"/>
        </w:rPr>
        <w:t>二</w:t>
      </w:r>
      <w:r>
        <w:rPr>
          <w:rFonts w:hint="eastAsia" w:ascii="黑体" w:hAnsi="黑体" w:eastAsia="黑体" w:cs="黑体"/>
          <w:color w:val="auto"/>
          <w:highlight w:val="none"/>
          <w:lang w:eastAsia="zh-Hans"/>
        </w:rPr>
        <w:t>条（争议解决）</w:t>
      </w:r>
      <w:r>
        <w:rPr>
          <w:rFonts w:hint="eastAsia"/>
          <w:color w:val="auto"/>
          <w:highlight w:val="none"/>
          <w:lang w:eastAsia="zh-Hans"/>
        </w:rPr>
        <w:t>数据交易机构应当建立数据</w:t>
      </w:r>
      <w:r>
        <w:rPr>
          <w:rFonts w:hint="eastAsia"/>
          <w:color w:val="auto"/>
          <w:highlight w:val="none"/>
        </w:rPr>
        <w:t>流通</w:t>
      </w:r>
      <w:r>
        <w:rPr>
          <w:rFonts w:hint="eastAsia"/>
          <w:color w:val="auto"/>
          <w:highlight w:val="none"/>
          <w:lang w:eastAsia="zh-Hans"/>
        </w:rPr>
        <w:t>交易争议解决机制，制定并公示争议解决规则，公平、公正解决数据供需双方的争议。</w:t>
      </w:r>
      <w:r>
        <w:rPr>
          <w:rFonts w:hint="eastAsia"/>
          <w:lang w:val="en-US" w:eastAsia="zh-CN"/>
        </w:rPr>
        <w:t>需开展数据仲裁服务的，数据交易机构或数据供需双方可委托具备资质的第三方专业服务机构开展相关</w:t>
      </w:r>
      <w:r>
        <w:rPr>
          <w:rFonts w:hint="eastAsia"/>
          <w:lang w:val="en-US" w:eastAsia="zh-Hans"/>
        </w:rPr>
        <w:t>服务</w:t>
      </w:r>
      <w:r>
        <w:rPr>
          <w:rFonts w:hint="eastAsia"/>
          <w:lang w:val="en-US" w:eastAsia="zh-CN"/>
        </w:rPr>
        <w:t>。</w:t>
      </w:r>
    </w:p>
    <w:p>
      <w:pPr>
        <w:pStyle w:val="2"/>
        <w:rPr>
          <w:rFonts w:hint="eastAsia"/>
          <w:lang w:eastAsia="zh-Hans"/>
        </w:rPr>
      </w:pPr>
    </w:p>
    <w:p>
      <w:pPr>
        <w:widowControl/>
        <w:ind w:firstLine="0" w:firstLineChars="0"/>
        <w:jc w:val="center"/>
        <w:outlineLvl w:val="0"/>
        <w:rPr>
          <w:rFonts w:ascii="宋体" w:hAnsi="宋体" w:eastAsia="黑体" w:cs="宋体"/>
          <w:bCs/>
          <w:color w:val="auto"/>
          <w:kern w:val="36"/>
          <w:szCs w:val="48"/>
          <w:highlight w:val="none"/>
        </w:rPr>
      </w:pPr>
      <w:bookmarkStart w:id="7" w:name="_Toc582701674"/>
      <w:r>
        <w:rPr>
          <w:rFonts w:hint="eastAsia" w:ascii="宋体" w:hAnsi="宋体" w:eastAsia="黑体" w:cs="宋体"/>
          <w:bCs/>
          <w:color w:val="auto"/>
          <w:kern w:val="36"/>
          <w:szCs w:val="48"/>
          <w:highlight w:val="none"/>
        </w:rPr>
        <w:t>第六章 交易安全</w:t>
      </w:r>
      <w:bookmarkEnd w:id="7"/>
    </w:p>
    <w:p>
      <w:pPr>
        <w:ind w:firstLine="632"/>
        <w:rPr>
          <w:color w:val="auto"/>
          <w:highlight w:val="none"/>
        </w:rPr>
      </w:pPr>
    </w:p>
    <w:p>
      <w:pPr>
        <w:ind w:firstLine="632"/>
        <w:rPr>
          <w:rFonts w:hint="eastAsia"/>
          <w:color w:val="auto"/>
          <w:highlight w:val="none"/>
        </w:rPr>
      </w:pPr>
      <w:r>
        <w:rPr>
          <w:rFonts w:hint="eastAsia" w:ascii="黑体" w:hAnsi="黑体" w:eastAsia="黑体" w:cs="黑体"/>
          <w:color w:val="auto"/>
          <w:highlight w:val="none"/>
          <w:lang w:eastAsia="zh-Hans"/>
        </w:rPr>
        <w:t>第三十</w:t>
      </w:r>
      <w:r>
        <w:rPr>
          <w:rFonts w:hint="eastAsia" w:ascii="黑体" w:hAnsi="黑体" w:eastAsia="黑体" w:cs="黑体"/>
          <w:color w:val="auto"/>
          <w:highlight w:val="none"/>
          <w:lang w:val="en-US" w:eastAsia="zh-CN"/>
        </w:rPr>
        <w:t>三</w:t>
      </w:r>
      <w:r>
        <w:rPr>
          <w:rFonts w:hint="eastAsia" w:ascii="黑体" w:hAnsi="黑体" w:eastAsia="黑体" w:cs="黑体"/>
          <w:color w:val="auto"/>
          <w:highlight w:val="none"/>
          <w:lang w:eastAsia="zh-Hans"/>
        </w:rPr>
        <w:t>条（安全管理责任）</w:t>
      </w:r>
      <w:r>
        <w:rPr>
          <w:color w:val="auto"/>
          <w:highlight w:val="none"/>
        </w:rPr>
        <w:t>数据交易机构</w:t>
      </w:r>
      <w:r>
        <w:rPr>
          <w:rFonts w:hint="eastAsia"/>
          <w:color w:val="auto"/>
          <w:highlight w:val="none"/>
          <w:lang w:eastAsia="zh-Hans"/>
        </w:rPr>
        <w:t>、数据交易主体</w:t>
      </w:r>
      <w:r>
        <w:rPr>
          <w:rFonts w:hint="eastAsia"/>
          <w:color w:val="auto"/>
          <w:highlight w:val="none"/>
        </w:rPr>
        <w:t>应</w:t>
      </w:r>
      <w:r>
        <w:rPr>
          <w:rFonts w:hint="eastAsia"/>
          <w:color w:val="auto"/>
          <w:highlight w:val="none"/>
          <w:lang w:eastAsia="zh-Hans"/>
        </w:rPr>
        <w:t>当</w:t>
      </w:r>
      <w:r>
        <w:rPr>
          <w:rFonts w:hint="eastAsia"/>
          <w:color w:val="auto"/>
          <w:highlight w:val="none"/>
        </w:rPr>
        <w:t>依照法律、法规、规章和国家标准的要求，健全数据安全管理制度，组织开展安全教育培训，</w:t>
      </w:r>
      <w:r>
        <w:rPr>
          <w:rFonts w:hint="eastAsia"/>
          <w:color w:val="auto"/>
          <w:highlight w:val="none"/>
          <w:lang w:eastAsia="zh-Hans"/>
        </w:rPr>
        <w:t>承担</w:t>
      </w:r>
      <w:r>
        <w:rPr>
          <w:rFonts w:hint="eastAsia"/>
          <w:color w:val="auto"/>
          <w:highlight w:val="none"/>
        </w:rPr>
        <w:t>数据安全保护责任，采取相应的技术措施和其他必要措施，保障数据安全。</w:t>
      </w:r>
    </w:p>
    <w:p>
      <w:pPr>
        <w:ind w:firstLine="632"/>
        <w:rPr>
          <w:rFonts w:hint="eastAsia"/>
          <w:lang w:val="en-US" w:eastAsia="zh-Hans"/>
        </w:rPr>
      </w:pPr>
      <w:r>
        <w:rPr>
          <w:rFonts w:hint="eastAsia" w:ascii="黑体" w:hAnsi="黑体" w:eastAsia="黑体" w:cs="黑体"/>
          <w:color w:val="auto"/>
          <w:highlight w:val="none"/>
          <w:lang w:eastAsia="zh-Hans"/>
        </w:rPr>
        <w:t>第三十</w:t>
      </w:r>
      <w:r>
        <w:rPr>
          <w:rFonts w:hint="eastAsia" w:ascii="黑体" w:hAnsi="黑体" w:eastAsia="黑体" w:cs="黑体"/>
          <w:color w:val="auto"/>
          <w:highlight w:val="none"/>
          <w:lang w:val="en-US" w:eastAsia="zh-CN"/>
        </w:rPr>
        <w:t>四</w:t>
      </w:r>
      <w:r>
        <w:rPr>
          <w:rFonts w:hint="eastAsia" w:ascii="黑体" w:hAnsi="黑体" w:eastAsia="黑体" w:cs="黑体"/>
          <w:color w:val="auto"/>
          <w:highlight w:val="none"/>
          <w:lang w:eastAsia="zh-Hans"/>
        </w:rPr>
        <w:t>条（</w:t>
      </w:r>
      <w:r>
        <w:rPr>
          <w:rFonts w:hint="eastAsia" w:ascii="黑体" w:hAnsi="黑体" w:eastAsia="黑体" w:cs="黑体"/>
          <w:color w:val="auto"/>
          <w:highlight w:val="none"/>
          <w:lang w:val="en-US" w:eastAsia="zh-CN"/>
        </w:rPr>
        <w:t>交易信息</w:t>
      </w:r>
      <w:r>
        <w:rPr>
          <w:rFonts w:hint="eastAsia" w:ascii="黑体" w:hAnsi="黑体" w:eastAsia="黑体" w:cs="黑体"/>
          <w:color w:val="auto"/>
          <w:highlight w:val="none"/>
        </w:rPr>
        <w:t>安全</w:t>
      </w:r>
      <w:r>
        <w:rPr>
          <w:rFonts w:hint="eastAsia" w:ascii="黑体" w:hAnsi="黑体" w:eastAsia="黑体" w:cs="黑体"/>
          <w:color w:val="auto"/>
          <w:highlight w:val="none"/>
          <w:lang w:eastAsia="zh-Hans"/>
        </w:rPr>
        <w:t>）</w:t>
      </w:r>
      <w:r>
        <w:rPr>
          <w:rFonts w:hint="eastAsia"/>
          <w:lang w:val="en-US" w:eastAsia="zh-Hans"/>
        </w:rPr>
        <w:t>数据交易</w:t>
      </w:r>
      <w:r>
        <w:rPr>
          <w:rFonts w:hint="eastAsia"/>
          <w:lang w:val="en-US" w:eastAsia="zh-CN"/>
        </w:rPr>
        <w:t>机构</w:t>
      </w:r>
      <w:r>
        <w:rPr>
          <w:rFonts w:hint="eastAsia"/>
          <w:lang w:val="en-US" w:eastAsia="zh-Hans"/>
        </w:rPr>
        <w:t>不得披露交易过程中的非公开材料及其获悉的其他非公开信息，未经相关主体授权不得擅自使用供需双方的</w:t>
      </w:r>
      <w:r>
        <w:rPr>
          <w:rFonts w:hint="eastAsia"/>
          <w:lang w:val="en-US" w:eastAsia="zh-CN"/>
        </w:rPr>
        <w:t>交易标的、交易信息等</w:t>
      </w:r>
      <w:r>
        <w:rPr>
          <w:rFonts w:hint="eastAsia"/>
          <w:lang w:val="en-US" w:eastAsia="zh-Hans"/>
        </w:rPr>
        <w:t>。</w:t>
      </w:r>
    </w:p>
    <w:p>
      <w:pPr>
        <w:rPr>
          <w:rFonts w:hint="eastAsia"/>
        </w:rPr>
      </w:pPr>
      <w:r>
        <w:rPr>
          <w:rFonts w:hint="eastAsia"/>
        </w:rPr>
        <w:t>数据供需双方通过数据交易平台进行标的交付的，数据交易机构应当依据相关法律法规要求，确保交易标的安全。</w:t>
      </w:r>
    </w:p>
    <w:p>
      <w:pPr>
        <w:ind w:firstLine="632"/>
        <w:rPr>
          <w:color w:val="auto"/>
          <w:highlight w:val="none"/>
        </w:rPr>
      </w:pPr>
      <w:r>
        <w:rPr>
          <w:rFonts w:hint="eastAsia" w:ascii="黑体" w:hAnsi="黑体" w:eastAsia="黑体" w:cs="黑体"/>
          <w:color w:val="auto"/>
          <w:highlight w:val="none"/>
          <w:lang w:eastAsia="zh-Hans"/>
        </w:rPr>
        <w:t>第三十</w:t>
      </w:r>
      <w:r>
        <w:rPr>
          <w:rFonts w:hint="eastAsia" w:ascii="黑体" w:hAnsi="黑体" w:eastAsia="黑体" w:cs="黑体"/>
          <w:color w:val="auto"/>
          <w:highlight w:val="none"/>
          <w:lang w:val="en-US" w:eastAsia="zh-CN"/>
        </w:rPr>
        <w:t>五</w:t>
      </w:r>
      <w:r>
        <w:rPr>
          <w:rFonts w:hint="eastAsia" w:ascii="黑体" w:hAnsi="黑体" w:eastAsia="黑体" w:cs="黑体"/>
          <w:color w:val="auto"/>
          <w:highlight w:val="none"/>
          <w:lang w:eastAsia="zh-Hans"/>
        </w:rPr>
        <w:t>条（应急处置）</w:t>
      </w:r>
      <w:r>
        <w:rPr>
          <w:rFonts w:hint="eastAsia"/>
          <w:color w:val="auto"/>
          <w:highlight w:val="none"/>
          <w:lang w:eastAsia="zh-Hans"/>
        </w:rPr>
        <w:t>数据交易机构应当</w:t>
      </w:r>
      <w:r>
        <w:rPr>
          <w:rFonts w:hint="eastAsia"/>
          <w:color w:val="auto"/>
          <w:highlight w:val="none"/>
        </w:rPr>
        <w:t>制定</w:t>
      </w:r>
      <w:r>
        <w:rPr>
          <w:rFonts w:hint="eastAsia"/>
          <w:color w:val="auto"/>
          <w:highlight w:val="none"/>
          <w:lang w:eastAsia="zh-Hans"/>
        </w:rPr>
        <w:t>监测、预警、控制</w:t>
      </w:r>
      <w:r>
        <w:rPr>
          <w:rFonts w:hint="eastAsia"/>
          <w:color w:val="auto"/>
          <w:highlight w:val="none"/>
        </w:rPr>
        <w:t>、</w:t>
      </w:r>
      <w:r>
        <w:rPr>
          <w:rFonts w:hint="eastAsia"/>
          <w:color w:val="auto"/>
          <w:highlight w:val="none"/>
          <w:lang w:eastAsia="zh-Hans"/>
        </w:rPr>
        <w:t>处置等风险</w:t>
      </w:r>
      <w:r>
        <w:rPr>
          <w:rFonts w:hint="eastAsia"/>
          <w:color w:val="auto"/>
          <w:highlight w:val="none"/>
        </w:rPr>
        <w:t>管理</w:t>
      </w:r>
      <w:r>
        <w:rPr>
          <w:rFonts w:hint="eastAsia"/>
          <w:color w:val="auto"/>
          <w:highlight w:val="none"/>
          <w:lang w:eastAsia="zh-Hans"/>
        </w:rPr>
        <w:t>制度</w:t>
      </w:r>
      <w:r>
        <w:rPr>
          <w:rFonts w:hint="eastAsia"/>
          <w:color w:val="auto"/>
          <w:highlight w:val="none"/>
        </w:rPr>
        <w:t>以及</w:t>
      </w:r>
      <w:r>
        <w:rPr>
          <w:rFonts w:hint="eastAsia"/>
          <w:color w:val="auto"/>
          <w:highlight w:val="none"/>
          <w:lang w:eastAsia="zh-Hans"/>
        </w:rPr>
        <w:t>数据安全事件应急预案，定期开展数据交易安全风险评估</w:t>
      </w:r>
      <w:r>
        <w:rPr>
          <w:rFonts w:hint="eastAsia"/>
          <w:color w:val="auto"/>
          <w:highlight w:val="none"/>
        </w:rPr>
        <w:t>和</w:t>
      </w:r>
      <w:r>
        <w:rPr>
          <w:rFonts w:hint="eastAsia"/>
          <w:color w:val="auto"/>
          <w:highlight w:val="none"/>
          <w:lang w:eastAsia="zh-Hans"/>
        </w:rPr>
        <w:t>应急演练</w:t>
      </w:r>
      <w:r>
        <w:rPr>
          <w:rFonts w:hint="eastAsia"/>
          <w:color w:val="auto"/>
          <w:highlight w:val="none"/>
        </w:rPr>
        <w:t>。</w:t>
      </w:r>
    </w:p>
    <w:p>
      <w:pPr>
        <w:ind w:firstLine="632"/>
        <w:rPr>
          <w:color w:val="auto"/>
          <w:highlight w:val="none"/>
        </w:rPr>
      </w:pPr>
      <w:r>
        <w:rPr>
          <w:rFonts w:hint="eastAsia"/>
          <w:color w:val="auto"/>
          <w:highlight w:val="none"/>
        </w:rPr>
        <w:t>发生泄露、篡改、损毁等数据安全事件，</w:t>
      </w:r>
      <w:r>
        <w:rPr>
          <w:color w:val="auto"/>
          <w:highlight w:val="none"/>
        </w:rPr>
        <w:t>数据交易机构</w:t>
      </w:r>
      <w:r>
        <w:rPr>
          <w:rFonts w:hint="eastAsia"/>
          <w:color w:val="auto"/>
          <w:highlight w:val="none"/>
        </w:rPr>
        <w:t>应当立即启动应急预案，及时告知数据供需双方，并向</w:t>
      </w:r>
      <w:r>
        <w:rPr>
          <w:rFonts w:hint="eastAsia"/>
          <w:color w:val="auto"/>
          <w:highlight w:val="none"/>
          <w:lang w:eastAsia="zh-Hans"/>
        </w:rPr>
        <w:t>有关主管部门</w:t>
      </w:r>
      <w:r>
        <w:rPr>
          <w:rFonts w:hint="eastAsia"/>
          <w:color w:val="auto"/>
          <w:highlight w:val="none"/>
        </w:rPr>
        <w:t>报告。</w:t>
      </w:r>
    </w:p>
    <w:p>
      <w:pPr>
        <w:tabs>
          <w:tab w:val="left" w:pos="0"/>
        </w:tabs>
        <w:ind w:firstLine="632" w:firstLineChars="0"/>
        <w:rPr>
          <w:color w:val="auto"/>
          <w:highlight w:val="none"/>
          <w:lang w:eastAsia="zh-Hans"/>
        </w:rPr>
      </w:pPr>
      <w:r>
        <w:rPr>
          <w:rFonts w:hint="eastAsia" w:ascii="黑体" w:hAnsi="黑体" w:eastAsia="黑体" w:cs="黑体"/>
          <w:color w:val="auto"/>
          <w:highlight w:val="none"/>
          <w:lang w:eastAsia="zh-Hans"/>
        </w:rPr>
        <w:t>第三十</w:t>
      </w:r>
      <w:r>
        <w:rPr>
          <w:rFonts w:hint="eastAsia" w:ascii="黑体" w:hAnsi="黑体" w:eastAsia="黑体" w:cs="黑体"/>
          <w:color w:val="auto"/>
          <w:highlight w:val="none"/>
          <w:lang w:val="en-US" w:eastAsia="zh-CN"/>
        </w:rPr>
        <w:t>六</w:t>
      </w:r>
      <w:r>
        <w:rPr>
          <w:rFonts w:hint="eastAsia" w:ascii="黑体" w:hAnsi="黑体" w:eastAsia="黑体" w:cs="黑体"/>
          <w:color w:val="auto"/>
          <w:highlight w:val="none"/>
          <w:lang w:eastAsia="zh-Hans"/>
        </w:rPr>
        <w:t>条（数据跨境安全）</w:t>
      </w:r>
      <w:r>
        <w:rPr>
          <w:rFonts w:hint="eastAsia"/>
          <w:color w:val="auto"/>
          <w:highlight w:val="none"/>
          <w:lang w:eastAsia="zh-Hans"/>
        </w:rPr>
        <w:t>涉及数据跨境交易的，应当按照国家有关规定执行。</w:t>
      </w:r>
    </w:p>
    <w:p>
      <w:pPr>
        <w:pStyle w:val="2"/>
        <w:ind w:firstLine="632"/>
        <w:rPr>
          <w:color w:val="auto"/>
          <w:highlight w:val="none"/>
          <w:lang w:eastAsia="zh-Hans"/>
        </w:rPr>
      </w:pPr>
    </w:p>
    <w:p>
      <w:pPr>
        <w:widowControl/>
        <w:ind w:firstLine="0" w:firstLineChars="0"/>
        <w:jc w:val="center"/>
        <w:outlineLvl w:val="0"/>
        <w:rPr>
          <w:rFonts w:ascii="宋体" w:hAnsi="宋体" w:eastAsia="黑体" w:cs="宋体"/>
          <w:bCs/>
          <w:color w:val="auto"/>
          <w:kern w:val="36"/>
          <w:szCs w:val="48"/>
          <w:highlight w:val="none"/>
        </w:rPr>
      </w:pPr>
      <w:bookmarkStart w:id="8" w:name="_Toc941604598"/>
      <w:r>
        <w:rPr>
          <w:rFonts w:hint="eastAsia" w:ascii="宋体" w:hAnsi="宋体" w:eastAsia="黑体" w:cs="宋体"/>
          <w:bCs/>
          <w:color w:val="auto"/>
          <w:kern w:val="36"/>
          <w:szCs w:val="48"/>
          <w:highlight w:val="none"/>
        </w:rPr>
        <w:t>第</w:t>
      </w:r>
      <w:r>
        <w:rPr>
          <w:rFonts w:hint="eastAsia" w:ascii="宋体" w:hAnsi="宋体" w:eastAsia="黑体" w:cs="宋体"/>
          <w:bCs/>
          <w:color w:val="auto"/>
          <w:kern w:val="36"/>
          <w:szCs w:val="48"/>
          <w:highlight w:val="none"/>
          <w:lang w:val="en-US" w:eastAsia="zh-CN"/>
        </w:rPr>
        <w:t>七</w:t>
      </w:r>
      <w:r>
        <w:rPr>
          <w:rFonts w:hint="eastAsia" w:ascii="宋体" w:hAnsi="宋体" w:eastAsia="黑体" w:cs="宋体"/>
          <w:bCs/>
          <w:color w:val="auto"/>
          <w:kern w:val="36"/>
          <w:szCs w:val="48"/>
          <w:highlight w:val="none"/>
        </w:rPr>
        <w:t>章</w:t>
      </w:r>
      <w:r>
        <w:rPr>
          <w:rFonts w:ascii="宋体" w:hAnsi="宋体" w:eastAsia="黑体" w:cs="宋体"/>
          <w:bCs/>
          <w:color w:val="auto"/>
          <w:kern w:val="36"/>
          <w:szCs w:val="48"/>
          <w:highlight w:val="none"/>
        </w:rPr>
        <w:t xml:space="preserve"> </w:t>
      </w:r>
      <w:r>
        <w:rPr>
          <w:rFonts w:hint="eastAsia" w:ascii="宋体" w:hAnsi="宋体" w:eastAsia="黑体" w:cs="宋体"/>
          <w:bCs/>
          <w:color w:val="auto"/>
          <w:kern w:val="36"/>
          <w:szCs w:val="48"/>
          <w:highlight w:val="none"/>
        </w:rPr>
        <w:t>监督管理</w:t>
      </w:r>
      <w:bookmarkEnd w:id="8"/>
    </w:p>
    <w:p>
      <w:pPr>
        <w:ind w:firstLine="632"/>
        <w:rPr>
          <w:color w:val="auto"/>
          <w:highlight w:val="none"/>
          <w:lang w:eastAsia="zh-Hans"/>
        </w:rPr>
      </w:pPr>
    </w:p>
    <w:p>
      <w:pPr>
        <w:ind w:firstLine="632"/>
        <w:rPr>
          <w:rFonts w:hint="eastAsia"/>
          <w:color w:val="auto"/>
          <w:highlight w:val="none"/>
        </w:rPr>
      </w:pPr>
      <w:r>
        <w:rPr>
          <w:rFonts w:hint="eastAsia" w:ascii="黑体" w:hAnsi="黑体" w:eastAsia="黑体" w:cs="黑体"/>
          <w:color w:val="auto"/>
          <w:highlight w:val="none"/>
          <w:lang w:eastAsia="zh-Hans"/>
        </w:rPr>
        <w:t>第三十</w:t>
      </w:r>
      <w:r>
        <w:rPr>
          <w:rFonts w:hint="eastAsia" w:ascii="黑体" w:hAnsi="黑体" w:eastAsia="黑体" w:cs="黑体"/>
          <w:color w:val="auto"/>
          <w:highlight w:val="none"/>
          <w:lang w:val="en-US" w:eastAsia="zh-CN"/>
        </w:rPr>
        <w:t>七</w:t>
      </w:r>
      <w:r>
        <w:rPr>
          <w:rFonts w:hint="eastAsia" w:ascii="黑体" w:hAnsi="黑体" w:eastAsia="黑体" w:cs="黑体"/>
          <w:color w:val="auto"/>
          <w:highlight w:val="none"/>
          <w:lang w:eastAsia="zh-Hans"/>
        </w:rPr>
        <w:t>条（</w:t>
      </w:r>
      <w:r>
        <w:rPr>
          <w:rFonts w:hint="eastAsia" w:ascii="黑体" w:hAnsi="黑体" w:eastAsia="黑体" w:cs="黑体"/>
          <w:color w:val="auto"/>
          <w:highlight w:val="none"/>
          <w:lang w:val="en-US" w:eastAsia="zh-CN"/>
        </w:rPr>
        <w:t>联合监管</w:t>
      </w:r>
      <w:r>
        <w:rPr>
          <w:rFonts w:hint="eastAsia" w:ascii="黑体" w:hAnsi="黑体" w:eastAsia="黑体" w:cs="黑体"/>
          <w:color w:val="auto"/>
          <w:highlight w:val="none"/>
          <w:lang w:eastAsia="zh-Hans"/>
        </w:rPr>
        <w:t>）</w:t>
      </w:r>
      <w:r>
        <w:rPr>
          <w:rFonts w:hint="eastAsia"/>
          <w:color w:val="auto"/>
          <w:highlight w:val="none"/>
        </w:rPr>
        <w:t>市数据主管部门会同网信、公安、</w:t>
      </w:r>
      <w:r>
        <w:rPr>
          <w:rFonts w:hint="eastAsia"/>
          <w:color w:val="auto"/>
          <w:highlight w:val="none"/>
          <w:lang w:val="en-US" w:eastAsia="zh-CN"/>
        </w:rPr>
        <w:t>市场监督管理</w:t>
      </w:r>
      <w:r>
        <w:rPr>
          <w:rFonts w:hint="eastAsia"/>
          <w:color w:val="auto"/>
          <w:highlight w:val="none"/>
        </w:rPr>
        <w:t>等部门</w:t>
      </w:r>
      <w:r>
        <w:rPr>
          <w:rFonts w:hint="eastAsia"/>
          <w:color w:val="auto"/>
          <w:highlight w:val="none"/>
          <w:lang w:eastAsia="zh-CN"/>
        </w:rPr>
        <w:t>，</w:t>
      </w:r>
      <w:r>
        <w:rPr>
          <w:rFonts w:hint="eastAsia"/>
          <w:color w:val="auto"/>
          <w:highlight w:val="none"/>
          <w:lang w:val="en-US" w:eastAsia="zh-CN"/>
        </w:rPr>
        <w:t>依据各自的职责加强对数据交易市场的监管，</w:t>
      </w:r>
      <w:r>
        <w:rPr>
          <w:rFonts w:hint="eastAsia"/>
          <w:color w:val="auto"/>
          <w:highlight w:val="none"/>
        </w:rPr>
        <w:t>发现存在安全风险的，应当提出整改要求并督促落实。</w:t>
      </w:r>
    </w:p>
    <w:p>
      <w:pPr>
        <w:pStyle w:val="2"/>
        <w:rPr>
          <w:rFonts w:hint="eastAsia"/>
          <w:lang w:val="en-US" w:eastAsia="zh-CN"/>
        </w:rPr>
      </w:pPr>
      <w:r>
        <w:rPr>
          <w:rFonts w:hint="eastAsia"/>
          <w:lang w:val="en-US" w:eastAsia="zh-CN"/>
        </w:rPr>
        <w:t>数据交易机构和数据交易主体应严格遵守法律、法规和监管部门的规定，自觉接受监管，配合监管活动，对监管部门提出的整改要求及时进行整改。</w:t>
      </w:r>
    </w:p>
    <w:p>
      <w:pPr>
        <w:ind w:firstLine="632"/>
        <w:rPr>
          <w:rFonts w:hint="eastAsia"/>
          <w:color w:val="auto"/>
          <w:highlight w:val="none"/>
        </w:rPr>
      </w:pPr>
      <w:r>
        <w:rPr>
          <w:rFonts w:hint="eastAsia" w:ascii="黑体" w:hAnsi="黑体" w:eastAsia="黑体" w:cs="黑体"/>
          <w:color w:val="auto"/>
          <w:highlight w:val="none"/>
          <w:lang w:eastAsia="zh-Hans"/>
        </w:rPr>
        <w:t>第三十</w:t>
      </w:r>
      <w:r>
        <w:rPr>
          <w:rFonts w:hint="eastAsia" w:ascii="黑体" w:hAnsi="黑体" w:eastAsia="黑体" w:cs="黑体"/>
          <w:color w:val="auto"/>
          <w:highlight w:val="none"/>
          <w:lang w:val="en-US" w:eastAsia="zh-CN"/>
        </w:rPr>
        <w:t>八</w:t>
      </w:r>
      <w:r>
        <w:rPr>
          <w:rFonts w:hint="eastAsia" w:ascii="黑体" w:hAnsi="黑体" w:eastAsia="黑体" w:cs="黑体"/>
          <w:color w:val="auto"/>
          <w:highlight w:val="none"/>
          <w:lang w:eastAsia="zh-Hans"/>
        </w:rPr>
        <w:t>条</w:t>
      </w:r>
      <w:r>
        <w:rPr>
          <w:rFonts w:hint="eastAsia" w:ascii="黑体" w:hAnsi="黑体" w:eastAsia="黑体" w:cs="黑体"/>
          <w:color w:val="auto"/>
          <w:highlight w:val="none"/>
        </w:rPr>
        <w:t>（机构</w:t>
      </w:r>
      <w:r>
        <w:rPr>
          <w:rFonts w:hint="eastAsia" w:ascii="黑体" w:hAnsi="黑体" w:eastAsia="黑体" w:cs="黑体"/>
          <w:color w:val="auto"/>
          <w:highlight w:val="none"/>
          <w:lang w:eastAsia="zh-Hans"/>
        </w:rPr>
        <w:t>评估</w:t>
      </w:r>
      <w:r>
        <w:rPr>
          <w:rFonts w:hint="eastAsia" w:ascii="黑体" w:hAnsi="黑体" w:eastAsia="黑体" w:cs="黑体"/>
          <w:color w:val="auto"/>
          <w:highlight w:val="none"/>
        </w:rPr>
        <w:t>）</w:t>
      </w:r>
      <w:r>
        <w:rPr>
          <w:rFonts w:hint="eastAsia"/>
          <w:color w:val="auto"/>
          <w:highlight w:val="none"/>
        </w:rPr>
        <w:t>市数据主管部门可以委托第三方专业服务机构对数据交易机构的交易活动、服务质量、安全管理、规范经营等情况进行评估，督促指导数据交易机构规范经营。</w:t>
      </w:r>
    </w:p>
    <w:p>
      <w:pPr>
        <w:ind w:firstLine="632"/>
        <w:rPr>
          <w:rFonts w:hint="eastAsia"/>
          <w:highlight w:val="none"/>
          <w:lang w:eastAsia="zh-Hans"/>
        </w:rPr>
      </w:pPr>
      <w:r>
        <w:rPr>
          <w:rFonts w:hint="eastAsia" w:ascii="黑体" w:hAnsi="黑体" w:eastAsia="黑体" w:cs="黑体"/>
          <w:color w:val="auto"/>
          <w:highlight w:val="none"/>
          <w:lang w:eastAsia="zh-Hans"/>
        </w:rPr>
        <w:t>第</w:t>
      </w:r>
      <w:r>
        <w:rPr>
          <w:rFonts w:hint="eastAsia" w:ascii="黑体" w:hAnsi="黑体" w:eastAsia="黑体" w:cs="黑体"/>
          <w:color w:val="auto"/>
          <w:highlight w:val="none"/>
          <w:lang w:val="en-US" w:eastAsia="zh-Hans"/>
        </w:rPr>
        <w:t>三十</w:t>
      </w:r>
      <w:r>
        <w:rPr>
          <w:rFonts w:hint="eastAsia" w:ascii="黑体" w:hAnsi="黑体" w:eastAsia="黑体" w:cs="黑体"/>
          <w:color w:val="auto"/>
          <w:highlight w:val="none"/>
          <w:lang w:val="en-US" w:eastAsia="zh-CN"/>
        </w:rPr>
        <w:t>九</w:t>
      </w:r>
      <w:r>
        <w:rPr>
          <w:rFonts w:hint="eastAsia" w:ascii="黑体" w:hAnsi="黑体" w:eastAsia="黑体" w:cs="黑体"/>
          <w:color w:val="auto"/>
          <w:highlight w:val="none"/>
          <w:lang w:eastAsia="zh-Hans"/>
        </w:rPr>
        <w:t>条（</w:t>
      </w:r>
      <w:r>
        <w:rPr>
          <w:rFonts w:hint="eastAsia" w:ascii="黑体" w:hAnsi="黑体" w:eastAsia="黑体" w:cs="黑体"/>
          <w:color w:val="auto"/>
          <w:highlight w:val="none"/>
          <w:lang w:val="en-US" w:eastAsia="zh-Hans"/>
        </w:rPr>
        <w:t>保密要求</w:t>
      </w:r>
      <w:r>
        <w:rPr>
          <w:rFonts w:hint="eastAsia" w:ascii="黑体" w:hAnsi="黑体" w:eastAsia="黑体" w:cs="黑体"/>
          <w:color w:val="auto"/>
          <w:highlight w:val="none"/>
          <w:lang w:eastAsia="zh-Hans"/>
        </w:rPr>
        <w:t>）</w:t>
      </w:r>
      <w:r>
        <w:rPr>
          <w:rFonts w:hint="eastAsia"/>
          <w:color w:val="auto"/>
          <w:highlight w:val="none"/>
          <w:lang w:val="en-US" w:eastAsia="zh-CN"/>
        </w:rPr>
        <w:t>数据交易机构、</w:t>
      </w:r>
      <w:r>
        <w:rPr>
          <w:rFonts w:hint="eastAsia"/>
          <w:color w:val="auto"/>
          <w:highlight w:val="none"/>
        </w:rPr>
        <w:t>数据商和第三方服务机构及其从业人员应当遵守保密原则，妥善保存委托文件、数据资料、工作底稿等信息和资料</w:t>
      </w:r>
      <w:r>
        <w:rPr>
          <w:rFonts w:hint="eastAsia"/>
          <w:highlight w:val="none"/>
          <w:lang w:eastAsia="zh-Hans"/>
        </w:rPr>
        <w:t>。</w:t>
      </w:r>
    </w:p>
    <w:p>
      <w:pPr>
        <w:ind w:firstLine="632"/>
        <w:rPr>
          <w:color w:val="auto"/>
          <w:highlight w:val="none"/>
        </w:rPr>
      </w:pPr>
      <w:r>
        <w:rPr>
          <w:rFonts w:hint="eastAsia" w:ascii="黑体" w:hAnsi="黑体" w:eastAsia="黑体" w:cs="黑体"/>
          <w:color w:val="auto"/>
          <w:highlight w:val="none"/>
          <w:lang w:eastAsia="zh-Hans"/>
        </w:rPr>
        <w:t>第</w:t>
      </w:r>
      <w:r>
        <w:rPr>
          <w:rFonts w:hint="eastAsia" w:ascii="黑体" w:hAnsi="黑体" w:eastAsia="黑体" w:cs="黑体"/>
          <w:color w:val="auto"/>
          <w:highlight w:val="none"/>
          <w:lang w:val="en-US" w:eastAsia="zh-CN"/>
        </w:rPr>
        <w:t>四十</w:t>
      </w:r>
      <w:r>
        <w:rPr>
          <w:rFonts w:hint="eastAsia" w:ascii="黑体" w:hAnsi="黑体" w:eastAsia="黑体" w:cs="黑体"/>
          <w:color w:val="auto"/>
          <w:highlight w:val="none"/>
          <w:lang w:eastAsia="zh-Hans"/>
        </w:rPr>
        <w:t>条（信用监管）</w:t>
      </w:r>
      <w:r>
        <w:rPr>
          <w:color w:val="auto"/>
          <w:highlight w:val="none"/>
          <w:lang w:eastAsia="zh-Hans"/>
        </w:rPr>
        <w:t>市</w:t>
      </w:r>
      <w:r>
        <w:rPr>
          <w:color w:val="auto"/>
          <w:highlight w:val="none"/>
        </w:rPr>
        <w:t>数据主管部门应当会同有关部门，</w:t>
      </w:r>
      <w:r>
        <w:rPr>
          <w:rFonts w:hint="eastAsia"/>
          <w:color w:val="auto"/>
          <w:highlight w:val="none"/>
        </w:rPr>
        <w:t>推动建立</w:t>
      </w:r>
      <w:r>
        <w:rPr>
          <w:rFonts w:hint="eastAsia"/>
          <w:color w:val="auto"/>
          <w:highlight w:val="none"/>
          <w:lang w:eastAsia="zh-Hans"/>
        </w:rPr>
        <w:t>数据交易机构、</w:t>
      </w:r>
      <w:r>
        <w:rPr>
          <w:rFonts w:hint="eastAsia"/>
          <w:color w:val="auto"/>
          <w:highlight w:val="none"/>
        </w:rPr>
        <w:t>数据交易主体信用档案</w:t>
      </w:r>
      <w:r>
        <w:rPr>
          <w:rFonts w:hint="eastAsia"/>
          <w:color w:val="auto"/>
          <w:highlight w:val="none"/>
          <w:lang w:eastAsia="zh-Hans"/>
        </w:rPr>
        <w:t>，</w:t>
      </w:r>
      <w:r>
        <w:rPr>
          <w:rFonts w:hint="eastAsia"/>
          <w:color w:val="auto"/>
          <w:highlight w:val="none"/>
        </w:rPr>
        <w:t>建立健全数据交易活动信用承诺、失信惩戒和守信激励等</w:t>
      </w:r>
      <w:r>
        <w:rPr>
          <w:rFonts w:hint="eastAsia"/>
          <w:color w:val="auto"/>
          <w:highlight w:val="none"/>
          <w:lang w:eastAsia="zh-Hans"/>
        </w:rPr>
        <w:t>数据流通交易</w:t>
      </w:r>
      <w:r>
        <w:rPr>
          <w:rFonts w:hint="eastAsia"/>
          <w:color w:val="auto"/>
          <w:highlight w:val="none"/>
        </w:rPr>
        <w:t>信用体系，强化信用信息的公开、公示和应用，推动数据流通交易信用体系纳入社会信用体系建设。</w:t>
      </w:r>
    </w:p>
    <w:p>
      <w:pPr>
        <w:spacing w:line="240" w:lineRule="auto"/>
        <w:ind w:firstLine="632"/>
        <w:rPr>
          <w:color w:val="auto"/>
          <w:highlight w:val="none"/>
        </w:rPr>
      </w:pPr>
      <w:r>
        <w:rPr>
          <w:rFonts w:hint="eastAsia" w:ascii="黑体" w:hAnsi="黑体" w:eastAsia="黑体" w:cs="黑体"/>
          <w:color w:val="auto"/>
          <w:highlight w:val="none"/>
          <w:lang w:eastAsia="zh-Hans"/>
        </w:rPr>
        <w:t>第</w:t>
      </w:r>
      <w:r>
        <w:rPr>
          <w:rFonts w:hint="eastAsia" w:ascii="黑体" w:hAnsi="黑体" w:eastAsia="黑体" w:cs="黑体"/>
          <w:color w:val="auto"/>
          <w:highlight w:val="none"/>
          <w:lang w:val="en-US" w:eastAsia="zh-CN"/>
        </w:rPr>
        <w:t>四十一</w:t>
      </w:r>
      <w:r>
        <w:rPr>
          <w:rFonts w:hint="eastAsia" w:ascii="黑体" w:hAnsi="黑体" w:eastAsia="黑体" w:cs="黑体"/>
          <w:color w:val="auto"/>
          <w:highlight w:val="none"/>
          <w:lang w:eastAsia="zh-Hans"/>
        </w:rPr>
        <w:t>条</w:t>
      </w:r>
      <w:r>
        <w:rPr>
          <w:rFonts w:hint="eastAsia" w:ascii="黑体" w:hAnsi="黑体" w:eastAsia="黑体" w:cs="黑体"/>
          <w:color w:val="auto"/>
          <w:highlight w:val="none"/>
        </w:rPr>
        <w:t>（</w:t>
      </w:r>
      <w:r>
        <w:rPr>
          <w:rFonts w:hint="eastAsia" w:ascii="黑体" w:hAnsi="黑体" w:eastAsia="黑体" w:cs="黑体"/>
          <w:color w:val="auto"/>
          <w:highlight w:val="none"/>
          <w:lang w:eastAsia="zh-Hans"/>
        </w:rPr>
        <w:t>社会监督</w:t>
      </w:r>
      <w:r>
        <w:rPr>
          <w:rFonts w:hint="eastAsia" w:ascii="黑体" w:hAnsi="黑体" w:eastAsia="黑体" w:cs="黑体"/>
          <w:color w:val="auto"/>
          <w:highlight w:val="none"/>
        </w:rPr>
        <w:t>）</w:t>
      </w:r>
      <w:r>
        <w:rPr>
          <w:rFonts w:hint="eastAsia" w:asciiTheme="minorHAnsi" w:hAnsiTheme="minorHAnsi"/>
          <w:color w:val="auto"/>
          <w:highlight w:val="none"/>
        </w:rPr>
        <w:t>市数据</w:t>
      </w:r>
      <w:r>
        <w:rPr>
          <w:rFonts w:asciiTheme="minorHAnsi" w:hAnsiTheme="minorHAnsi"/>
          <w:color w:val="auto"/>
          <w:highlight w:val="none"/>
        </w:rPr>
        <w:t>主管部门应当会同有关部门，畅通</w:t>
      </w:r>
      <w:r>
        <w:rPr>
          <w:rFonts w:hint="eastAsia" w:asciiTheme="minorHAnsi" w:hAnsiTheme="minorHAnsi"/>
          <w:color w:val="auto"/>
          <w:highlight w:val="none"/>
        </w:rPr>
        <w:t>全市数据流通交易活动的</w:t>
      </w:r>
      <w:r>
        <w:rPr>
          <w:rFonts w:asciiTheme="minorHAnsi" w:hAnsiTheme="minorHAnsi"/>
          <w:color w:val="auto"/>
          <w:highlight w:val="none"/>
        </w:rPr>
        <w:t>社会监督渠道，充分发挥投诉举报、行业自律等监督作用。</w:t>
      </w:r>
    </w:p>
    <w:p>
      <w:pPr>
        <w:tabs>
          <w:tab w:val="left" w:pos="0"/>
        </w:tabs>
        <w:ind w:firstLine="632" w:firstLineChars="0"/>
        <w:rPr>
          <w:color w:val="auto"/>
          <w:highlight w:val="none"/>
        </w:rPr>
      </w:pPr>
      <w:r>
        <w:rPr>
          <w:rFonts w:hint="eastAsia" w:ascii="黑体" w:hAnsi="黑体" w:eastAsia="黑体" w:cs="黑体"/>
          <w:color w:val="auto"/>
          <w:highlight w:val="none"/>
          <w:lang w:eastAsia="zh-Hans"/>
        </w:rPr>
        <w:t>第四十</w:t>
      </w:r>
      <w:r>
        <w:rPr>
          <w:rFonts w:hint="eastAsia" w:ascii="黑体" w:hAnsi="黑体" w:eastAsia="黑体" w:cs="黑体"/>
          <w:color w:val="auto"/>
          <w:highlight w:val="none"/>
          <w:lang w:val="en-US" w:eastAsia="zh-CN"/>
        </w:rPr>
        <w:t>二</w:t>
      </w:r>
      <w:r>
        <w:rPr>
          <w:rFonts w:hint="eastAsia" w:ascii="黑体" w:hAnsi="黑体" w:eastAsia="黑体" w:cs="黑体"/>
          <w:color w:val="auto"/>
          <w:highlight w:val="none"/>
          <w:lang w:eastAsia="zh-Hans"/>
        </w:rPr>
        <w:t>条（责任追究）</w:t>
      </w:r>
      <w:r>
        <w:rPr>
          <w:rFonts w:hint="eastAsia"/>
          <w:color w:val="auto"/>
          <w:highlight w:val="none"/>
          <w:lang w:eastAsia="zh-Hans"/>
        </w:rPr>
        <w:t>政府</w:t>
      </w:r>
      <w:r>
        <w:rPr>
          <w:rFonts w:hint="eastAsia"/>
          <w:color w:val="auto"/>
          <w:highlight w:val="none"/>
        </w:rPr>
        <w:t>部门及其工作人员</w:t>
      </w:r>
      <w:r>
        <w:rPr>
          <w:rFonts w:hint="eastAsia"/>
          <w:color w:val="auto"/>
          <w:highlight w:val="none"/>
          <w:lang w:eastAsia="zh-CN"/>
        </w:rPr>
        <w:t>、</w:t>
      </w:r>
      <w:r>
        <w:rPr>
          <w:rFonts w:hint="eastAsia"/>
          <w:color w:val="auto"/>
          <w:highlight w:val="none"/>
        </w:rPr>
        <w:t>数据交易主体、</w:t>
      </w:r>
      <w:r>
        <w:rPr>
          <w:color w:val="auto"/>
          <w:highlight w:val="none"/>
          <w:lang w:eastAsia="zh-Hans"/>
        </w:rPr>
        <w:t>数据交易机构</w:t>
      </w:r>
      <w:r>
        <w:rPr>
          <w:rFonts w:hint="eastAsia"/>
          <w:color w:val="auto"/>
          <w:highlight w:val="none"/>
        </w:rPr>
        <w:t>在数据交易</w:t>
      </w:r>
      <w:r>
        <w:rPr>
          <w:rFonts w:hint="eastAsia"/>
          <w:color w:val="auto"/>
          <w:highlight w:val="none"/>
          <w:lang w:eastAsia="zh-Hans"/>
        </w:rPr>
        <w:t>及</w:t>
      </w:r>
      <w:r>
        <w:rPr>
          <w:rFonts w:hint="eastAsia"/>
          <w:color w:val="auto"/>
          <w:highlight w:val="none"/>
        </w:rPr>
        <w:t>监督管理工作中</w:t>
      </w:r>
      <w:r>
        <w:rPr>
          <w:rFonts w:hint="eastAsia"/>
          <w:color w:val="auto"/>
          <w:highlight w:val="none"/>
          <w:lang w:eastAsia="zh-Hans"/>
        </w:rPr>
        <w:t>，存在违法</w:t>
      </w:r>
      <w:r>
        <w:rPr>
          <w:rFonts w:hint="eastAsia"/>
          <w:color w:val="auto"/>
          <w:highlight w:val="none"/>
        </w:rPr>
        <w:t>、</w:t>
      </w:r>
      <w:r>
        <w:rPr>
          <w:rFonts w:hint="eastAsia"/>
          <w:color w:val="auto"/>
          <w:highlight w:val="none"/>
          <w:lang w:eastAsia="zh-Hans"/>
        </w:rPr>
        <w:t>违规</w:t>
      </w:r>
      <w:r>
        <w:rPr>
          <w:rFonts w:hint="eastAsia"/>
          <w:color w:val="auto"/>
          <w:highlight w:val="none"/>
        </w:rPr>
        <w:t>行为的，由</w:t>
      </w:r>
      <w:r>
        <w:rPr>
          <w:rFonts w:hint="eastAsia"/>
          <w:color w:val="auto"/>
          <w:highlight w:val="none"/>
          <w:lang w:eastAsia="zh-Hans"/>
        </w:rPr>
        <w:t>相关主管部门</w:t>
      </w:r>
      <w:r>
        <w:rPr>
          <w:rFonts w:hint="eastAsia"/>
          <w:color w:val="auto"/>
          <w:highlight w:val="none"/>
        </w:rPr>
        <w:t>对直接负责的主管人员和其他直接责任人员依法给予处分；</w:t>
      </w:r>
      <w:r>
        <w:rPr>
          <w:color w:val="auto"/>
          <w:highlight w:val="none"/>
          <w:lang w:eastAsia="zh-Hans"/>
        </w:rPr>
        <w:t>侵害公民、法人或者</w:t>
      </w:r>
      <w:r>
        <w:rPr>
          <w:rFonts w:hint="eastAsia"/>
          <w:color w:val="auto"/>
          <w:highlight w:val="none"/>
          <w:lang w:eastAsia="zh-Hans"/>
        </w:rPr>
        <w:t>非法人组织合法权益的，依法承担民事责任；</w:t>
      </w:r>
      <w:r>
        <w:rPr>
          <w:rFonts w:hint="eastAsia"/>
          <w:color w:val="auto"/>
          <w:highlight w:val="none"/>
        </w:rPr>
        <w:t>构成犯罪的，依法追究刑事责任。</w:t>
      </w:r>
    </w:p>
    <w:p>
      <w:pPr>
        <w:numPr>
          <w:ilvl w:val="255"/>
          <w:numId w:val="0"/>
        </w:numPr>
        <w:tabs>
          <w:tab w:val="left" w:pos="0"/>
        </w:tabs>
        <w:rPr>
          <w:color w:val="auto"/>
          <w:highlight w:val="none"/>
        </w:rPr>
      </w:pPr>
    </w:p>
    <w:p>
      <w:pPr>
        <w:widowControl/>
        <w:ind w:firstLine="0" w:firstLineChars="0"/>
        <w:jc w:val="center"/>
        <w:outlineLvl w:val="0"/>
        <w:rPr>
          <w:rFonts w:ascii="宋体" w:hAnsi="宋体" w:eastAsia="黑体" w:cs="宋体"/>
          <w:bCs/>
          <w:color w:val="auto"/>
          <w:kern w:val="36"/>
          <w:szCs w:val="48"/>
          <w:highlight w:val="none"/>
        </w:rPr>
      </w:pPr>
      <w:bookmarkStart w:id="9" w:name="_Toc741483843"/>
      <w:r>
        <w:rPr>
          <w:rFonts w:hint="eastAsia" w:ascii="宋体" w:hAnsi="宋体" w:eastAsia="黑体" w:cs="宋体"/>
          <w:bCs/>
          <w:color w:val="auto"/>
          <w:kern w:val="36"/>
          <w:szCs w:val="48"/>
          <w:highlight w:val="none"/>
        </w:rPr>
        <w:t>第八章</w:t>
      </w:r>
      <w:r>
        <w:rPr>
          <w:rFonts w:ascii="宋体" w:hAnsi="宋体" w:eastAsia="黑体" w:cs="宋体"/>
          <w:bCs/>
          <w:color w:val="auto"/>
          <w:kern w:val="36"/>
          <w:szCs w:val="48"/>
          <w:highlight w:val="none"/>
        </w:rPr>
        <w:t xml:space="preserve"> </w:t>
      </w:r>
      <w:r>
        <w:rPr>
          <w:rFonts w:hint="eastAsia" w:ascii="宋体" w:hAnsi="宋体" w:eastAsia="黑体" w:cs="宋体"/>
          <w:bCs/>
          <w:color w:val="auto"/>
          <w:kern w:val="36"/>
          <w:szCs w:val="48"/>
          <w:highlight w:val="none"/>
        </w:rPr>
        <w:t xml:space="preserve">附 </w:t>
      </w:r>
      <w:r>
        <w:rPr>
          <w:rFonts w:ascii="宋体" w:hAnsi="宋体" w:eastAsia="黑体" w:cs="宋体"/>
          <w:bCs/>
          <w:color w:val="auto"/>
          <w:kern w:val="36"/>
          <w:szCs w:val="48"/>
          <w:highlight w:val="none"/>
        </w:rPr>
        <w:t xml:space="preserve"> </w:t>
      </w:r>
      <w:r>
        <w:rPr>
          <w:rFonts w:hint="eastAsia" w:ascii="宋体" w:hAnsi="宋体" w:eastAsia="黑体" w:cs="宋体"/>
          <w:bCs/>
          <w:color w:val="auto"/>
          <w:kern w:val="36"/>
          <w:szCs w:val="48"/>
          <w:highlight w:val="none"/>
        </w:rPr>
        <w:t>则</w:t>
      </w:r>
      <w:bookmarkEnd w:id="9"/>
    </w:p>
    <w:p>
      <w:pPr>
        <w:ind w:firstLine="632"/>
        <w:rPr>
          <w:color w:val="auto"/>
          <w:highlight w:val="none"/>
        </w:rPr>
      </w:pPr>
    </w:p>
    <w:p>
      <w:pPr>
        <w:numPr>
          <w:ilvl w:val="-1"/>
          <w:numId w:val="0"/>
        </w:numPr>
        <w:tabs>
          <w:tab w:val="left" w:pos="0"/>
        </w:tabs>
        <w:ind w:firstLine="632" w:firstLineChars="0"/>
        <w:rPr>
          <w:color w:val="auto"/>
          <w:highlight w:val="none"/>
        </w:rPr>
      </w:pPr>
      <w:r>
        <w:rPr>
          <w:rFonts w:hint="eastAsia" w:ascii="黑体" w:hAnsi="黑体" w:eastAsia="黑体" w:cs="黑体"/>
          <w:color w:val="auto"/>
          <w:highlight w:val="none"/>
          <w:lang w:eastAsia="zh-Hans"/>
        </w:rPr>
        <w:t>第四十</w:t>
      </w:r>
      <w:r>
        <w:rPr>
          <w:rFonts w:hint="eastAsia" w:ascii="黑体" w:hAnsi="黑体" w:eastAsia="黑体" w:cs="黑体"/>
          <w:color w:val="auto"/>
          <w:highlight w:val="none"/>
          <w:lang w:val="en-US" w:eastAsia="zh-CN"/>
        </w:rPr>
        <w:t>三</w:t>
      </w:r>
      <w:r>
        <w:rPr>
          <w:rFonts w:hint="eastAsia" w:ascii="黑体" w:hAnsi="黑体" w:eastAsia="黑体" w:cs="黑体"/>
          <w:color w:val="auto"/>
          <w:highlight w:val="none"/>
          <w:lang w:eastAsia="zh-Hans"/>
        </w:rPr>
        <w:t>条（施行日期）</w:t>
      </w:r>
      <w:r>
        <w:rPr>
          <w:rFonts w:hint="eastAsia"/>
          <w:color w:val="auto"/>
          <w:highlight w:val="none"/>
          <w:lang w:eastAsia="zh-Hans"/>
        </w:rPr>
        <w:t>本办法自</w:t>
      </w:r>
      <w:r>
        <w:rPr>
          <w:rFonts w:hint="eastAsia"/>
          <w:color w:val="auto"/>
          <w:highlight w:val="none"/>
          <w:u w:val="single"/>
          <w:lang w:eastAsia="zh-Hans"/>
        </w:rPr>
        <w:t xml:space="preserve">   </w:t>
      </w:r>
      <w:r>
        <w:rPr>
          <w:rFonts w:hint="eastAsia"/>
          <w:color w:val="auto"/>
          <w:highlight w:val="none"/>
          <w:lang w:eastAsia="zh-Hans"/>
        </w:rPr>
        <w:t>年</w:t>
      </w:r>
      <w:r>
        <w:rPr>
          <w:rFonts w:hint="eastAsia"/>
          <w:color w:val="auto"/>
          <w:highlight w:val="none"/>
          <w:u w:val="single"/>
          <w:lang w:eastAsia="zh-Hans"/>
        </w:rPr>
        <w:t xml:space="preserve">  </w:t>
      </w:r>
      <w:r>
        <w:rPr>
          <w:rFonts w:hint="eastAsia"/>
          <w:color w:val="auto"/>
          <w:highlight w:val="none"/>
          <w:lang w:eastAsia="zh-Hans"/>
        </w:rPr>
        <w:t>月</w:t>
      </w:r>
      <w:r>
        <w:rPr>
          <w:rFonts w:hint="eastAsia"/>
          <w:color w:val="auto"/>
          <w:highlight w:val="none"/>
          <w:u w:val="single"/>
          <w:lang w:eastAsia="zh-Hans"/>
        </w:rPr>
        <w:t xml:space="preserve">  </w:t>
      </w:r>
      <w:r>
        <w:rPr>
          <w:rFonts w:hint="eastAsia"/>
          <w:color w:val="auto"/>
          <w:highlight w:val="none"/>
          <w:lang w:eastAsia="zh-Hans"/>
        </w:rPr>
        <w:t>日起施行，有效期</w:t>
      </w:r>
      <w:r>
        <w:rPr>
          <w:rFonts w:hint="eastAsia"/>
          <w:color w:val="auto"/>
          <w:highlight w:val="none"/>
          <w:u w:val="single"/>
          <w:lang w:eastAsia="zh-Hans"/>
        </w:rPr>
        <w:t xml:space="preserve">   </w:t>
      </w:r>
      <w:r>
        <w:rPr>
          <w:rFonts w:hint="eastAsia"/>
          <w:color w:val="auto"/>
          <w:highlight w:val="none"/>
          <w:lang w:eastAsia="zh-Hans"/>
        </w:rPr>
        <w:t>年</w:t>
      </w:r>
      <w:r>
        <w:rPr>
          <w:rFonts w:hint="eastAsia"/>
          <w:color w:val="auto"/>
          <w:highlight w:val="none"/>
        </w:rPr>
        <w:t>。</w:t>
      </w:r>
    </w:p>
    <w:sectPr>
      <w:headerReference r:id="rId5" w:type="default"/>
      <w:footerReference r:id="rId6" w:type="default"/>
      <w:pgSz w:w="11906" w:h="16838"/>
      <w:pgMar w:top="2098" w:right="1531" w:bottom="2098" w:left="1531" w:header="851" w:footer="992" w:gutter="0"/>
      <w:pgNumType w:fmt="numberInDash"/>
      <w:cols w:space="0" w:num="1"/>
      <w:docGrid w:type="linesAndChars" w:linePitch="574"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panose1 w:val="020F0702030404030204"/>
    <w:charset w:val="00"/>
    <w:family w:val="swiss"/>
    <w:pitch w:val="default"/>
    <w:sig w:usb0="E10002FF" w:usb1="4000ACFF" w:usb2="00000009" w:usb3="00000000" w:csb0="2000019F" w:csb1="00000000"/>
  </w:font>
  <w:font w:name="FangSong_GB2312">
    <w:panose1 w:val="02010609030101010101"/>
    <w:charset w:val="86"/>
    <w:family w:val="auto"/>
    <w:pitch w:val="default"/>
    <w:sig w:usb0="00000001" w:usb1="080E0000" w:usb2="00000000" w:usb3="00000000" w:csb0="00040000" w:csb1="00000000"/>
  </w:font>
  <w:font w:name="SimHei">
    <w:panose1 w:val="02010609060101010101"/>
    <w:charset w:val="86"/>
    <w:family w:val="auto"/>
    <w:pitch w:val="default"/>
    <w:sig w:usb0="800002BF" w:usb1="38CF7CFA" w:usb2="00000016" w:usb3="00000000" w:csb0="00040001" w:csb1="00000000"/>
  </w:font>
  <w:font w:name="KaiTi_GB2312">
    <w:panose1 w:val="02010609030101010101"/>
    <w:charset w:val="86"/>
    <w:family w:val="auto"/>
    <w:pitch w:val="default"/>
    <w:sig w:usb0="00000001" w:usb1="080E0000" w:usb2="00000000" w:usb3="00000000" w:csb0="00040000" w:csb1="00000000"/>
  </w:font>
  <w:font w:name="Times New Roman Regular">
    <w:panose1 w:val="02020803070505020304"/>
    <w:charset w:val="00"/>
    <w:family w:val="auto"/>
    <w:pitch w:val="default"/>
    <w:sig w:usb0="E0002AFF" w:usb1="C0007841" w:usb2="00000009" w:usb3="00000000" w:csb0="400001FF" w:csb1="FFFF0000"/>
  </w:font>
  <w:font w:name="Times New Roman Bold">
    <w:panose1 w:val="02020803070505020304"/>
    <w:charset w:val="00"/>
    <w:family w:val="auto"/>
    <w:pitch w:val="default"/>
    <w:sig w:usb0="E0002AFF" w:usb1="C0007841" w:usb2="00000009" w:usb3="00000000" w:csb0="400001FF" w:csb1="FFFF0000"/>
  </w:font>
  <w:font w:name="FZFangSong-Z02S">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Simsun">
    <w:panose1 w:val="02010600030101010101"/>
    <w:charset w:val="86"/>
    <w:family w:val="roman"/>
    <w:pitch w:val="default"/>
    <w:sig w:usb0="00000003" w:usb1="288F0000" w:usb2="00000006" w:usb3="00000000" w:csb0="00040001" w:csb1="00000000"/>
  </w:font>
  <w:font w:name="KaiTi">
    <w:panose1 w:val="02010609060101010101"/>
    <w:charset w:val="86"/>
    <w:family w:val="auto"/>
    <w:pitch w:val="default"/>
    <w:sig w:usb0="800002BF" w:usb1="38CF7CFA" w:usb2="00000016" w:usb3="00000000" w:csb0="00040001" w:csb1="00000000"/>
  </w:font>
  <w:font w:name="FZFangSong-Z02">
    <w:panose1 w:val="03000509000000000000"/>
    <w:charset w:val="86"/>
    <w:family w:val="auto"/>
    <w:pitch w:val="default"/>
    <w:sig w:usb0="00000001" w:usb1="080E0000" w:usb2="00000000" w:usb3="00000000" w:csb0="00040000" w:csb1="00000000"/>
  </w:font>
  <w:font w:name="DejaVu Sans">
    <w:altName w:val="苹方-简"/>
    <w:panose1 w:val="00000000000000000000"/>
    <w:charset w:val="00"/>
    <w:family w:val="roman"/>
    <w:pitch w:val="default"/>
    <w:sig w:usb0="00000000" w:usb1="00000000" w:usb2="00000008" w:usb3="00000000" w:csb0="000001FF" w:csb1="00000000"/>
  </w:font>
  <w:font w:name="楷体_GB2312">
    <w:panose1 w:val="02010609030101010101"/>
    <w:charset w:val="86"/>
    <w:family w:val="modern"/>
    <w:pitch w:val="default"/>
    <w:sig w:usb0="00000001" w:usb1="080E0000" w:usb2="00000000" w:usb3="00000000" w:csb0="00040000" w:csb1="00000000"/>
  </w:font>
  <w:font w:name="Calibri Light">
    <w:altName w:val="Helvetica Neue"/>
    <w:panose1 w:val="020F0302020204030204"/>
    <w:charset w:val="00"/>
    <w:family w:val="swiss"/>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 w:name="PingFang SC">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方正小标宋简体">
    <w:panose1 w:val="02000000000000000000"/>
    <w:charset w:val="86"/>
    <w:family w:val="script"/>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AFF" w:usb1="C000605B" w:usb2="00000029" w:usb3="00000000" w:csb0="200101FF" w:csb1="20280000"/>
  </w:font>
  <w:font w:name="苹方-简">
    <w:panose1 w:val="020B0400000000000000"/>
    <w:charset w:val="86"/>
    <w:family w:val="auto"/>
    <w:pitch w:val="default"/>
    <w:sig w:usb0="A00002FF" w:usb1="7ACFFDFB" w:usb2="00000017" w:usb3="00000000" w:csb0="00040001" w:csb1="00000000"/>
  </w:font>
  <w:font w:name="宋体-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360" w:firstLine="0" w:firstLineChars="0"/>
      <w:rPr>
        <w:rFonts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-321945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ind w:firstLine="0" w:firstLineChars="0"/>
                            <w:jc w:val="both"/>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- 14 -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25.35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cD2S1dYAAAAIAQAADwAAAAAAAAABACAAAAA4AAAA&#10;ZHJzL2Rvd25yZXYueG1sUEsBAhQAFAAAAAgAh07iQBcMibgsAgAAVQQAAA4AAAAAAAAAAQAgAAAA&#10;OwEAAGRycy9lMm9Eb2MueG1sUEsFBgAAAAAGAAYAWQEAANkFAAAAAA==&#10;">
              <v:fill on="f" focussize="0,0"/>
              <v:stroke on="f" weight="0.5pt"/>
              <v:imagedata o:title=""/>
              <o:lock v:ext="edit" aspectratio="f"/>
              <v:textbox inset="0mm,0mm,0mm,0mm" style="mso-fit-shape-to-text:t;">
                <w:txbxContent>
                  <w:p>
                    <w:pPr>
                      <w:pStyle w:val="17"/>
                      <w:ind w:firstLine="0" w:firstLineChars="0"/>
                      <w:jc w:val="both"/>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- 14 -</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7F8825"/>
    <w:multiLevelType w:val="multilevel"/>
    <w:tmpl w:val="FB7F8825"/>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pStyle w:val="8"/>
      <w:suff w:val="nothing"/>
      <w:lvlText w:val="%5"/>
      <w:lvlJc w:val="left"/>
      <w:pPr>
        <w:ind w:left="0" w:firstLine="402"/>
      </w:pPr>
      <w:rPr>
        <w:rFonts w:hint="eastAsia"/>
      </w:rPr>
    </w:lvl>
    <w:lvl w:ilvl="5" w:tentative="0">
      <w:start w:val="1"/>
      <w:numFmt w:val="decimal"/>
      <w:pStyle w:val="9"/>
      <w:suff w:val="nothing"/>
      <w:lvlText w:val="%6）"/>
      <w:lvlJc w:val="left"/>
      <w:pPr>
        <w:ind w:left="0" w:firstLine="402"/>
      </w:pPr>
      <w:rPr>
        <w:rFonts w:hint="eastAsia"/>
      </w:rPr>
    </w:lvl>
    <w:lvl w:ilvl="6" w:tentative="0">
      <w:start w:val="1"/>
      <w:numFmt w:val="lowerLetter"/>
      <w:pStyle w:val="10"/>
      <w:suff w:val="nothing"/>
      <w:lvlText w:val="%7．"/>
      <w:lvlJc w:val="left"/>
      <w:pPr>
        <w:ind w:left="0" w:firstLine="402"/>
      </w:pPr>
      <w:rPr>
        <w:rFonts w:hint="eastAsia"/>
      </w:rPr>
    </w:lvl>
    <w:lvl w:ilvl="7" w:tentative="0">
      <w:start w:val="1"/>
      <w:numFmt w:val="lowerLetter"/>
      <w:pStyle w:val="11"/>
      <w:suff w:val="nothing"/>
      <w:lvlText w:val="%8）"/>
      <w:lvlJc w:val="left"/>
      <w:pPr>
        <w:ind w:left="0" w:firstLine="402"/>
      </w:pPr>
      <w:rPr>
        <w:rFonts w:hint="eastAsia"/>
      </w:rPr>
    </w:lvl>
    <w:lvl w:ilvl="8" w:tentative="0">
      <w:start w:val="1"/>
      <w:numFmt w:val="lowerRoman"/>
      <w:pStyle w:val="12"/>
      <w:suff w:val="nothing"/>
      <w:lvlText w:val="%9 "/>
      <w:lvlJc w:val="left"/>
      <w:pPr>
        <w:ind w:left="0" w:firstLine="402"/>
      </w:pPr>
      <w:rPr>
        <w:rFonts w:hint="eastAsia"/>
      </w:rPr>
    </w:lvl>
  </w:abstractNum>
  <w:abstractNum w:abstractNumId="1">
    <w:nsid w:val="FEF7E2BF"/>
    <w:multiLevelType w:val="singleLevel"/>
    <w:tmpl w:val="FEF7E2BF"/>
    <w:lvl w:ilvl="0" w:tentative="0">
      <w:start w:val="1"/>
      <w:numFmt w:val="decimal"/>
      <w:pStyle w:val="38"/>
      <w:suff w:val="space"/>
      <w:lvlText w:val="图 %1"/>
      <w:lvlJc w:val="center"/>
      <w:pPr>
        <w:tabs>
          <w:tab w:val="left" w:pos="0"/>
        </w:tabs>
        <w:ind w:left="0" w:firstLine="0"/>
      </w:pPr>
      <w:rPr>
        <w:rFonts w:hint="default" w:ascii="Arial" w:hAnsi="Arial" w:eastAsia="黑体" w:cs="Arial"/>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trackRevisions w:val="1"/>
  <w:documentProtection w:enforcement="0"/>
  <w:defaultTabStop w:val="420"/>
  <w:drawingGridHorizontalSpacing w:val="158"/>
  <w:drawingGridVerticalSpacing w:val="287"/>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FAD10F"/>
    <w:rsid w:val="00015367"/>
    <w:rsid w:val="000337BC"/>
    <w:rsid w:val="000341F2"/>
    <w:rsid w:val="000643CA"/>
    <w:rsid w:val="00095524"/>
    <w:rsid w:val="00115797"/>
    <w:rsid w:val="001705F3"/>
    <w:rsid w:val="00465389"/>
    <w:rsid w:val="00473BD9"/>
    <w:rsid w:val="006E209D"/>
    <w:rsid w:val="00745853"/>
    <w:rsid w:val="00770178"/>
    <w:rsid w:val="009701D3"/>
    <w:rsid w:val="00A53244"/>
    <w:rsid w:val="00B10542"/>
    <w:rsid w:val="00BB3BA7"/>
    <w:rsid w:val="00BF633C"/>
    <w:rsid w:val="00D97E24"/>
    <w:rsid w:val="00E00AF2"/>
    <w:rsid w:val="00E87C3B"/>
    <w:rsid w:val="00EB234A"/>
    <w:rsid w:val="00EF2DEB"/>
    <w:rsid w:val="00FF064E"/>
    <w:rsid w:val="01DFFFB2"/>
    <w:rsid w:val="03FF7568"/>
    <w:rsid w:val="07DD8E3C"/>
    <w:rsid w:val="097BDE47"/>
    <w:rsid w:val="0ABF5839"/>
    <w:rsid w:val="0AE979CF"/>
    <w:rsid w:val="0C6DC720"/>
    <w:rsid w:val="0DBE97E4"/>
    <w:rsid w:val="0F7E0855"/>
    <w:rsid w:val="11FF4DCE"/>
    <w:rsid w:val="11FFC858"/>
    <w:rsid w:val="135CD170"/>
    <w:rsid w:val="156F3636"/>
    <w:rsid w:val="15FDABBD"/>
    <w:rsid w:val="179D9477"/>
    <w:rsid w:val="17D73E54"/>
    <w:rsid w:val="17FBAFF5"/>
    <w:rsid w:val="17FFD2F6"/>
    <w:rsid w:val="199F31AC"/>
    <w:rsid w:val="1ABFB99D"/>
    <w:rsid w:val="1B7AF3C5"/>
    <w:rsid w:val="1B7E5A05"/>
    <w:rsid w:val="1B9F4C96"/>
    <w:rsid w:val="1C7F060C"/>
    <w:rsid w:val="1D4EFCA6"/>
    <w:rsid w:val="1DDBBCE0"/>
    <w:rsid w:val="1DDFE77E"/>
    <w:rsid w:val="1DFFD64C"/>
    <w:rsid w:val="1E41F53B"/>
    <w:rsid w:val="1EFFBF40"/>
    <w:rsid w:val="1EFFFD2F"/>
    <w:rsid w:val="1F4BC2C5"/>
    <w:rsid w:val="1F5D2B2B"/>
    <w:rsid w:val="1F7DB48F"/>
    <w:rsid w:val="1F7F03CB"/>
    <w:rsid w:val="1F7F203B"/>
    <w:rsid w:val="1FA7149C"/>
    <w:rsid w:val="1FBF7371"/>
    <w:rsid w:val="1FDF4F50"/>
    <w:rsid w:val="1FEA6677"/>
    <w:rsid w:val="1FF6A932"/>
    <w:rsid w:val="1FF9DB66"/>
    <w:rsid w:val="1FFD5036"/>
    <w:rsid w:val="1FFE83A2"/>
    <w:rsid w:val="21FF39D6"/>
    <w:rsid w:val="24B64217"/>
    <w:rsid w:val="26EC9D2D"/>
    <w:rsid w:val="26FEE0A7"/>
    <w:rsid w:val="27D78479"/>
    <w:rsid w:val="28FFAC9B"/>
    <w:rsid w:val="297B014C"/>
    <w:rsid w:val="2A827864"/>
    <w:rsid w:val="2B9F5715"/>
    <w:rsid w:val="2BDD85BC"/>
    <w:rsid w:val="2BDF5E9B"/>
    <w:rsid w:val="2BDF63BD"/>
    <w:rsid w:val="2BEBC104"/>
    <w:rsid w:val="2BFB1FCE"/>
    <w:rsid w:val="2BFEC893"/>
    <w:rsid w:val="2CADD856"/>
    <w:rsid w:val="2D55562F"/>
    <w:rsid w:val="2DF25851"/>
    <w:rsid w:val="2DFF4784"/>
    <w:rsid w:val="2E5B4DF9"/>
    <w:rsid w:val="2E5FBAA6"/>
    <w:rsid w:val="2E736DCA"/>
    <w:rsid w:val="2ECEE7A1"/>
    <w:rsid w:val="2EDBBB33"/>
    <w:rsid w:val="2EDF0888"/>
    <w:rsid w:val="2EFD5C0C"/>
    <w:rsid w:val="2EFDF9A2"/>
    <w:rsid w:val="2EFFDEC0"/>
    <w:rsid w:val="2F77A292"/>
    <w:rsid w:val="2F7BA12F"/>
    <w:rsid w:val="2F9F175E"/>
    <w:rsid w:val="2F9F9AB2"/>
    <w:rsid w:val="2FE19B2B"/>
    <w:rsid w:val="2FF7024D"/>
    <w:rsid w:val="2FF77E98"/>
    <w:rsid w:val="2FF7F498"/>
    <w:rsid w:val="2FF9EF2B"/>
    <w:rsid w:val="2FFF0565"/>
    <w:rsid w:val="2FFF152C"/>
    <w:rsid w:val="326F5DEC"/>
    <w:rsid w:val="327FBD2E"/>
    <w:rsid w:val="33557578"/>
    <w:rsid w:val="33BF68B4"/>
    <w:rsid w:val="33F0BB6E"/>
    <w:rsid w:val="33FB945F"/>
    <w:rsid w:val="34A407F7"/>
    <w:rsid w:val="34E62095"/>
    <w:rsid w:val="34EFBFB1"/>
    <w:rsid w:val="357942BB"/>
    <w:rsid w:val="35FF1658"/>
    <w:rsid w:val="35FFB8FD"/>
    <w:rsid w:val="363B8A10"/>
    <w:rsid w:val="36CD8C0F"/>
    <w:rsid w:val="36EE9391"/>
    <w:rsid w:val="36F91A33"/>
    <w:rsid w:val="36FF9121"/>
    <w:rsid w:val="371EC9FD"/>
    <w:rsid w:val="37BFD18F"/>
    <w:rsid w:val="37DF2357"/>
    <w:rsid w:val="37EA99D0"/>
    <w:rsid w:val="37FBC62B"/>
    <w:rsid w:val="37FD3AEF"/>
    <w:rsid w:val="37FE8BF7"/>
    <w:rsid w:val="37FFDF44"/>
    <w:rsid w:val="387F0F4F"/>
    <w:rsid w:val="38D368F7"/>
    <w:rsid w:val="390F1299"/>
    <w:rsid w:val="39EFE962"/>
    <w:rsid w:val="39F792C6"/>
    <w:rsid w:val="39FF58C9"/>
    <w:rsid w:val="39FF5C8C"/>
    <w:rsid w:val="3A6D5969"/>
    <w:rsid w:val="3A7E3051"/>
    <w:rsid w:val="3AAE0ED2"/>
    <w:rsid w:val="3AD79F96"/>
    <w:rsid w:val="3B7AC7EF"/>
    <w:rsid w:val="3B7B20AC"/>
    <w:rsid w:val="3B7D5DA9"/>
    <w:rsid w:val="3BB2B0D3"/>
    <w:rsid w:val="3BDD52C1"/>
    <w:rsid w:val="3BDEC6A0"/>
    <w:rsid w:val="3BE381D6"/>
    <w:rsid w:val="3BF55E68"/>
    <w:rsid w:val="3BF7A423"/>
    <w:rsid w:val="3BFE99FB"/>
    <w:rsid w:val="3BFFCA5F"/>
    <w:rsid w:val="3BFFF619"/>
    <w:rsid w:val="3C6C6742"/>
    <w:rsid w:val="3D4F9DE9"/>
    <w:rsid w:val="3D671A8D"/>
    <w:rsid w:val="3D6B8190"/>
    <w:rsid w:val="3D9ED569"/>
    <w:rsid w:val="3DDEBBBF"/>
    <w:rsid w:val="3DEFC250"/>
    <w:rsid w:val="3DEFDA1B"/>
    <w:rsid w:val="3DFDCAB0"/>
    <w:rsid w:val="3DFECD21"/>
    <w:rsid w:val="3DFF09A8"/>
    <w:rsid w:val="3DFF74A2"/>
    <w:rsid w:val="3E79E17A"/>
    <w:rsid w:val="3E7B265F"/>
    <w:rsid w:val="3E8E4A97"/>
    <w:rsid w:val="3EB5BF06"/>
    <w:rsid w:val="3EBF6465"/>
    <w:rsid w:val="3EBFD98A"/>
    <w:rsid w:val="3EE5CF6A"/>
    <w:rsid w:val="3EEB1461"/>
    <w:rsid w:val="3EEEC62F"/>
    <w:rsid w:val="3EF7550E"/>
    <w:rsid w:val="3F259FEF"/>
    <w:rsid w:val="3F2E55DD"/>
    <w:rsid w:val="3F35EA7F"/>
    <w:rsid w:val="3F3BD692"/>
    <w:rsid w:val="3F3F1AD7"/>
    <w:rsid w:val="3F674D1B"/>
    <w:rsid w:val="3F6BA6F9"/>
    <w:rsid w:val="3F774AAF"/>
    <w:rsid w:val="3F777314"/>
    <w:rsid w:val="3F77F97F"/>
    <w:rsid w:val="3F7B4A45"/>
    <w:rsid w:val="3F7EE03A"/>
    <w:rsid w:val="3F9337A8"/>
    <w:rsid w:val="3F9D9594"/>
    <w:rsid w:val="3F9EABB5"/>
    <w:rsid w:val="3FB7A13E"/>
    <w:rsid w:val="3FBDB1D1"/>
    <w:rsid w:val="3FBFBBD7"/>
    <w:rsid w:val="3FCD0F09"/>
    <w:rsid w:val="3FDA4AB6"/>
    <w:rsid w:val="3FDB3CE6"/>
    <w:rsid w:val="3FDF7A16"/>
    <w:rsid w:val="3FDFBCCD"/>
    <w:rsid w:val="3FECF547"/>
    <w:rsid w:val="3FEF6EFF"/>
    <w:rsid w:val="3FF2A806"/>
    <w:rsid w:val="3FF5B4CD"/>
    <w:rsid w:val="3FF72CD0"/>
    <w:rsid w:val="3FF7C690"/>
    <w:rsid w:val="3FF7CD2C"/>
    <w:rsid w:val="3FF97251"/>
    <w:rsid w:val="3FFB3D18"/>
    <w:rsid w:val="3FFBC283"/>
    <w:rsid w:val="3FFC81AF"/>
    <w:rsid w:val="3FFE4843"/>
    <w:rsid w:val="3FFE517E"/>
    <w:rsid w:val="3FFEB885"/>
    <w:rsid w:val="3FFEC7FA"/>
    <w:rsid w:val="3FFF9D3D"/>
    <w:rsid w:val="3FFFA495"/>
    <w:rsid w:val="43BFE6F6"/>
    <w:rsid w:val="43F90B93"/>
    <w:rsid w:val="446C431C"/>
    <w:rsid w:val="44FF2B33"/>
    <w:rsid w:val="459FFF1B"/>
    <w:rsid w:val="45AF335C"/>
    <w:rsid w:val="46D5EE4E"/>
    <w:rsid w:val="47BB9C5F"/>
    <w:rsid w:val="47FF0841"/>
    <w:rsid w:val="49EEB29F"/>
    <w:rsid w:val="49FFA36D"/>
    <w:rsid w:val="4BCFDDD3"/>
    <w:rsid w:val="4BE47E0C"/>
    <w:rsid w:val="4C372A4D"/>
    <w:rsid w:val="4D2BC8E1"/>
    <w:rsid w:val="4DECAEE9"/>
    <w:rsid w:val="4DEF88B0"/>
    <w:rsid w:val="4E5FC061"/>
    <w:rsid w:val="4E7F374A"/>
    <w:rsid w:val="4EAE8AD6"/>
    <w:rsid w:val="4ECF71B4"/>
    <w:rsid w:val="4EFBB2C7"/>
    <w:rsid w:val="4EFD7D74"/>
    <w:rsid w:val="4F13CE65"/>
    <w:rsid w:val="4F750D16"/>
    <w:rsid w:val="4F8F4828"/>
    <w:rsid w:val="4FB602F4"/>
    <w:rsid w:val="4FDAC3FD"/>
    <w:rsid w:val="4FDE1120"/>
    <w:rsid w:val="4FDF066E"/>
    <w:rsid w:val="4FF7F9D2"/>
    <w:rsid w:val="4FFDF644"/>
    <w:rsid w:val="4FFFA2CD"/>
    <w:rsid w:val="50E32C24"/>
    <w:rsid w:val="51354E5B"/>
    <w:rsid w:val="51773B40"/>
    <w:rsid w:val="51FC1BE1"/>
    <w:rsid w:val="52E769E0"/>
    <w:rsid w:val="52FF42B0"/>
    <w:rsid w:val="535F79EA"/>
    <w:rsid w:val="5393147D"/>
    <w:rsid w:val="53F51EAE"/>
    <w:rsid w:val="545ECB7C"/>
    <w:rsid w:val="54B39F89"/>
    <w:rsid w:val="55B741CE"/>
    <w:rsid w:val="55B8807C"/>
    <w:rsid w:val="55FA4A52"/>
    <w:rsid w:val="55FEDB7E"/>
    <w:rsid w:val="55FF4658"/>
    <w:rsid w:val="567EFB06"/>
    <w:rsid w:val="56FBDE2C"/>
    <w:rsid w:val="56FDC45B"/>
    <w:rsid w:val="56FFAFD7"/>
    <w:rsid w:val="5717C4D0"/>
    <w:rsid w:val="57431CAE"/>
    <w:rsid w:val="579BC762"/>
    <w:rsid w:val="57BDEA50"/>
    <w:rsid w:val="57D40ADC"/>
    <w:rsid w:val="57EEFB6B"/>
    <w:rsid w:val="57F1EF6D"/>
    <w:rsid w:val="57FD3427"/>
    <w:rsid w:val="593F4CE9"/>
    <w:rsid w:val="59BD8156"/>
    <w:rsid w:val="59BF72CA"/>
    <w:rsid w:val="59E9F064"/>
    <w:rsid w:val="59FFEEEE"/>
    <w:rsid w:val="5A6D4FEF"/>
    <w:rsid w:val="5A7E8714"/>
    <w:rsid w:val="5ADD9186"/>
    <w:rsid w:val="5ADF4FFF"/>
    <w:rsid w:val="5AEE3F2A"/>
    <w:rsid w:val="5B4381C3"/>
    <w:rsid w:val="5B6313DA"/>
    <w:rsid w:val="5B6B1CD2"/>
    <w:rsid w:val="5BB6805B"/>
    <w:rsid w:val="5BCB4D00"/>
    <w:rsid w:val="5BCFAA6B"/>
    <w:rsid w:val="5BDF8142"/>
    <w:rsid w:val="5BE39A55"/>
    <w:rsid w:val="5BFAA307"/>
    <w:rsid w:val="5BFAD10F"/>
    <w:rsid w:val="5BFFE63F"/>
    <w:rsid w:val="5CBDF2EE"/>
    <w:rsid w:val="5CE613A2"/>
    <w:rsid w:val="5CF93878"/>
    <w:rsid w:val="5D7B8174"/>
    <w:rsid w:val="5D7DF621"/>
    <w:rsid w:val="5DA7894A"/>
    <w:rsid w:val="5DB99C0C"/>
    <w:rsid w:val="5DBF5840"/>
    <w:rsid w:val="5DCF6F02"/>
    <w:rsid w:val="5DDFE2FD"/>
    <w:rsid w:val="5DEB3165"/>
    <w:rsid w:val="5DFBC903"/>
    <w:rsid w:val="5DFEF6E1"/>
    <w:rsid w:val="5DFFBBEB"/>
    <w:rsid w:val="5DFFCEE9"/>
    <w:rsid w:val="5E6C5BC6"/>
    <w:rsid w:val="5E73BFA1"/>
    <w:rsid w:val="5EAEF5E8"/>
    <w:rsid w:val="5EBBDCC6"/>
    <w:rsid w:val="5ED578C7"/>
    <w:rsid w:val="5EE20536"/>
    <w:rsid w:val="5EF7F319"/>
    <w:rsid w:val="5EF9BFE7"/>
    <w:rsid w:val="5EF9C666"/>
    <w:rsid w:val="5EFAF6AD"/>
    <w:rsid w:val="5EFC915C"/>
    <w:rsid w:val="5F0B1DD0"/>
    <w:rsid w:val="5F3D0A31"/>
    <w:rsid w:val="5F3D30F9"/>
    <w:rsid w:val="5F46BB6E"/>
    <w:rsid w:val="5F4B7DF3"/>
    <w:rsid w:val="5F5DDBA8"/>
    <w:rsid w:val="5F5F753D"/>
    <w:rsid w:val="5F6DC360"/>
    <w:rsid w:val="5F7B9F0E"/>
    <w:rsid w:val="5F7DD179"/>
    <w:rsid w:val="5F7E0FC9"/>
    <w:rsid w:val="5F7E175B"/>
    <w:rsid w:val="5F7F5418"/>
    <w:rsid w:val="5F8A5B13"/>
    <w:rsid w:val="5F9ED4CD"/>
    <w:rsid w:val="5F9F6ECC"/>
    <w:rsid w:val="5FB31625"/>
    <w:rsid w:val="5FB6922F"/>
    <w:rsid w:val="5FB74695"/>
    <w:rsid w:val="5FBBAB1A"/>
    <w:rsid w:val="5FBD6219"/>
    <w:rsid w:val="5FBED364"/>
    <w:rsid w:val="5FD73989"/>
    <w:rsid w:val="5FDD9EFA"/>
    <w:rsid w:val="5FE1F05F"/>
    <w:rsid w:val="5FEBD586"/>
    <w:rsid w:val="5FEF466F"/>
    <w:rsid w:val="5FF7C40C"/>
    <w:rsid w:val="5FF7ED22"/>
    <w:rsid w:val="5FFA3CDF"/>
    <w:rsid w:val="5FFF3F98"/>
    <w:rsid w:val="60EF8CE6"/>
    <w:rsid w:val="61DFBB15"/>
    <w:rsid w:val="61FF79AF"/>
    <w:rsid w:val="637A8D80"/>
    <w:rsid w:val="63B8B324"/>
    <w:rsid w:val="63E7E943"/>
    <w:rsid w:val="63FF2823"/>
    <w:rsid w:val="6572EDE4"/>
    <w:rsid w:val="65BF524D"/>
    <w:rsid w:val="65EC00A7"/>
    <w:rsid w:val="65FF57DF"/>
    <w:rsid w:val="663E804D"/>
    <w:rsid w:val="663FD586"/>
    <w:rsid w:val="664F82B1"/>
    <w:rsid w:val="665B268E"/>
    <w:rsid w:val="667D252F"/>
    <w:rsid w:val="667F57CC"/>
    <w:rsid w:val="66DFE076"/>
    <w:rsid w:val="66FD4E44"/>
    <w:rsid w:val="66FFFF93"/>
    <w:rsid w:val="677D63E7"/>
    <w:rsid w:val="677D787C"/>
    <w:rsid w:val="677F7B5C"/>
    <w:rsid w:val="679FCCD2"/>
    <w:rsid w:val="67AE2CFA"/>
    <w:rsid w:val="67BE79FA"/>
    <w:rsid w:val="67BEC263"/>
    <w:rsid w:val="67DFBF5F"/>
    <w:rsid w:val="67E740F3"/>
    <w:rsid w:val="67EE745B"/>
    <w:rsid w:val="67FD6141"/>
    <w:rsid w:val="67FE4676"/>
    <w:rsid w:val="687F80E1"/>
    <w:rsid w:val="68B7FFD2"/>
    <w:rsid w:val="68D73251"/>
    <w:rsid w:val="68FB51FE"/>
    <w:rsid w:val="68FD90C4"/>
    <w:rsid w:val="69797E9C"/>
    <w:rsid w:val="69BF89A3"/>
    <w:rsid w:val="69DB18B5"/>
    <w:rsid w:val="69FB4D3B"/>
    <w:rsid w:val="69FD661A"/>
    <w:rsid w:val="69FFB6EF"/>
    <w:rsid w:val="6A3C1036"/>
    <w:rsid w:val="6A959251"/>
    <w:rsid w:val="6AF203C7"/>
    <w:rsid w:val="6AF44B65"/>
    <w:rsid w:val="6B3E5A25"/>
    <w:rsid w:val="6B54F8CD"/>
    <w:rsid w:val="6B5BCF90"/>
    <w:rsid w:val="6BD3116C"/>
    <w:rsid w:val="6BDF7ABA"/>
    <w:rsid w:val="6BEB71C1"/>
    <w:rsid w:val="6BF372D5"/>
    <w:rsid w:val="6BF98AE3"/>
    <w:rsid w:val="6BFD9B3A"/>
    <w:rsid w:val="6BFF1985"/>
    <w:rsid w:val="6BFFC098"/>
    <w:rsid w:val="6C5E3A4E"/>
    <w:rsid w:val="6CAFD41A"/>
    <w:rsid w:val="6CEEF82C"/>
    <w:rsid w:val="6CF74160"/>
    <w:rsid w:val="6CFF0376"/>
    <w:rsid w:val="6CFFD8AD"/>
    <w:rsid w:val="6D2FD66B"/>
    <w:rsid w:val="6D3F898E"/>
    <w:rsid w:val="6D6C934C"/>
    <w:rsid w:val="6D97D1AA"/>
    <w:rsid w:val="6D9FB631"/>
    <w:rsid w:val="6DB3B71A"/>
    <w:rsid w:val="6DD698BA"/>
    <w:rsid w:val="6DEFA1A9"/>
    <w:rsid w:val="6DFB3560"/>
    <w:rsid w:val="6DFF6164"/>
    <w:rsid w:val="6DFFBCB8"/>
    <w:rsid w:val="6DFFC56C"/>
    <w:rsid w:val="6E1B3F42"/>
    <w:rsid w:val="6E3F636E"/>
    <w:rsid w:val="6E57DB67"/>
    <w:rsid w:val="6E6F38AF"/>
    <w:rsid w:val="6E7B3AAD"/>
    <w:rsid w:val="6E7FE8B2"/>
    <w:rsid w:val="6EABAEF7"/>
    <w:rsid w:val="6EAFC051"/>
    <w:rsid w:val="6EBF0A7B"/>
    <w:rsid w:val="6EDD180A"/>
    <w:rsid w:val="6EDF1FAA"/>
    <w:rsid w:val="6EF7366D"/>
    <w:rsid w:val="6EF7A075"/>
    <w:rsid w:val="6EF7E4F3"/>
    <w:rsid w:val="6EFFE5C6"/>
    <w:rsid w:val="6F0BFA24"/>
    <w:rsid w:val="6F1E1785"/>
    <w:rsid w:val="6F3F1166"/>
    <w:rsid w:val="6F5F6490"/>
    <w:rsid w:val="6F5FF09B"/>
    <w:rsid w:val="6F6D3CC0"/>
    <w:rsid w:val="6F77211E"/>
    <w:rsid w:val="6F773A11"/>
    <w:rsid w:val="6F7A0BC3"/>
    <w:rsid w:val="6F7E05B7"/>
    <w:rsid w:val="6F8513D2"/>
    <w:rsid w:val="6F9E7DEF"/>
    <w:rsid w:val="6FB9FE0E"/>
    <w:rsid w:val="6FBC0C9A"/>
    <w:rsid w:val="6FBDD8E0"/>
    <w:rsid w:val="6FBE0168"/>
    <w:rsid w:val="6FBE214D"/>
    <w:rsid w:val="6FC3824B"/>
    <w:rsid w:val="6FCB754E"/>
    <w:rsid w:val="6FCFA8C4"/>
    <w:rsid w:val="6FDE95A8"/>
    <w:rsid w:val="6FDFC134"/>
    <w:rsid w:val="6FDFDF1E"/>
    <w:rsid w:val="6FE75B75"/>
    <w:rsid w:val="6FED0BF1"/>
    <w:rsid w:val="6FEEF38B"/>
    <w:rsid w:val="6FEF9AE4"/>
    <w:rsid w:val="6FEFBEB1"/>
    <w:rsid w:val="6FF6E3CC"/>
    <w:rsid w:val="6FF7BB24"/>
    <w:rsid w:val="6FFA7D8F"/>
    <w:rsid w:val="6FFC1074"/>
    <w:rsid w:val="6FFDBD27"/>
    <w:rsid w:val="6FFF24F0"/>
    <w:rsid w:val="6FFF2640"/>
    <w:rsid w:val="6FFF44A0"/>
    <w:rsid w:val="6FFFDC03"/>
    <w:rsid w:val="6FFFE4C9"/>
    <w:rsid w:val="71B77965"/>
    <w:rsid w:val="724B9749"/>
    <w:rsid w:val="728B05CF"/>
    <w:rsid w:val="72BFC77E"/>
    <w:rsid w:val="72FB3870"/>
    <w:rsid w:val="72FEA792"/>
    <w:rsid w:val="7332F678"/>
    <w:rsid w:val="737A400A"/>
    <w:rsid w:val="737D9751"/>
    <w:rsid w:val="73BEB630"/>
    <w:rsid w:val="73BF647B"/>
    <w:rsid w:val="73D7B07A"/>
    <w:rsid w:val="73DF887B"/>
    <w:rsid w:val="73EF71E7"/>
    <w:rsid w:val="73F90233"/>
    <w:rsid w:val="73FD3143"/>
    <w:rsid w:val="73FDBBD7"/>
    <w:rsid w:val="73FF6921"/>
    <w:rsid w:val="73FF7023"/>
    <w:rsid w:val="746E197D"/>
    <w:rsid w:val="7477B993"/>
    <w:rsid w:val="74DD9333"/>
    <w:rsid w:val="74F3ADAD"/>
    <w:rsid w:val="74FF9EC8"/>
    <w:rsid w:val="753FEA0D"/>
    <w:rsid w:val="75772010"/>
    <w:rsid w:val="759F5273"/>
    <w:rsid w:val="759FAD6F"/>
    <w:rsid w:val="75DF5F33"/>
    <w:rsid w:val="75EBF9D9"/>
    <w:rsid w:val="75F7B5D7"/>
    <w:rsid w:val="75FE2D88"/>
    <w:rsid w:val="75FF3D5E"/>
    <w:rsid w:val="75FF59FA"/>
    <w:rsid w:val="75FF71CD"/>
    <w:rsid w:val="763FF749"/>
    <w:rsid w:val="765F9E0F"/>
    <w:rsid w:val="767F950B"/>
    <w:rsid w:val="768C302E"/>
    <w:rsid w:val="76AF8D14"/>
    <w:rsid w:val="76DF90AD"/>
    <w:rsid w:val="76E3F645"/>
    <w:rsid w:val="76EFA744"/>
    <w:rsid w:val="76FE2C0A"/>
    <w:rsid w:val="76FF5342"/>
    <w:rsid w:val="771DBA4D"/>
    <w:rsid w:val="7729742D"/>
    <w:rsid w:val="772F6D94"/>
    <w:rsid w:val="773F5E3D"/>
    <w:rsid w:val="7743AB6C"/>
    <w:rsid w:val="775F3980"/>
    <w:rsid w:val="7778B236"/>
    <w:rsid w:val="777F47A2"/>
    <w:rsid w:val="777F8E12"/>
    <w:rsid w:val="779E67DA"/>
    <w:rsid w:val="77A70DE9"/>
    <w:rsid w:val="77A7E27B"/>
    <w:rsid w:val="77ADB53F"/>
    <w:rsid w:val="77B66A71"/>
    <w:rsid w:val="77BD9BFA"/>
    <w:rsid w:val="77BF214D"/>
    <w:rsid w:val="77D632DB"/>
    <w:rsid w:val="77D774DD"/>
    <w:rsid w:val="77DA627E"/>
    <w:rsid w:val="77DF0609"/>
    <w:rsid w:val="77E309B8"/>
    <w:rsid w:val="77F3B06B"/>
    <w:rsid w:val="77F47B03"/>
    <w:rsid w:val="77F69B2C"/>
    <w:rsid w:val="77F70998"/>
    <w:rsid w:val="77F9F061"/>
    <w:rsid w:val="77FAC874"/>
    <w:rsid w:val="77FBD5FB"/>
    <w:rsid w:val="77FCB7B5"/>
    <w:rsid w:val="77FD297B"/>
    <w:rsid w:val="77FF1E0A"/>
    <w:rsid w:val="77FF4837"/>
    <w:rsid w:val="77FF602D"/>
    <w:rsid w:val="78677AB1"/>
    <w:rsid w:val="78A6ACCB"/>
    <w:rsid w:val="78F39F40"/>
    <w:rsid w:val="78FBA147"/>
    <w:rsid w:val="78FDC55C"/>
    <w:rsid w:val="78FF0A03"/>
    <w:rsid w:val="791B1B86"/>
    <w:rsid w:val="7935F1CB"/>
    <w:rsid w:val="793B1A6E"/>
    <w:rsid w:val="796935A3"/>
    <w:rsid w:val="7975B553"/>
    <w:rsid w:val="797FC9F3"/>
    <w:rsid w:val="79AF7994"/>
    <w:rsid w:val="79B3C10D"/>
    <w:rsid w:val="79BFA331"/>
    <w:rsid w:val="79E734A2"/>
    <w:rsid w:val="79F2EBC6"/>
    <w:rsid w:val="79F5339C"/>
    <w:rsid w:val="79F74A88"/>
    <w:rsid w:val="79FE12BA"/>
    <w:rsid w:val="79FEAE70"/>
    <w:rsid w:val="79FF1BD8"/>
    <w:rsid w:val="79FFBBE3"/>
    <w:rsid w:val="7A3F1BAE"/>
    <w:rsid w:val="7A5F6629"/>
    <w:rsid w:val="7ABD5DCC"/>
    <w:rsid w:val="7ABF08BB"/>
    <w:rsid w:val="7AEBE05D"/>
    <w:rsid w:val="7AF3C65E"/>
    <w:rsid w:val="7AF79344"/>
    <w:rsid w:val="7AF9050C"/>
    <w:rsid w:val="7AF93F0D"/>
    <w:rsid w:val="7AFB447F"/>
    <w:rsid w:val="7AFDD2B8"/>
    <w:rsid w:val="7AFF30F1"/>
    <w:rsid w:val="7AFFB9ED"/>
    <w:rsid w:val="7B14E541"/>
    <w:rsid w:val="7B37A511"/>
    <w:rsid w:val="7B3A15F0"/>
    <w:rsid w:val="7B559C3F"/>
    <w:rsid w:val="7B57CB97"/>
    <w:rsid w:val="7B7DC2F4"/>
    <w:rsid w:val="7B7FBFF4"/>
    <w:rsid w:val="7B853715"/>
    <w:rsid w:val="7B9DE81B"/>
    <w:rsid w:val="7B9EC055"/>
    <w:rsid w:val="7BB7750C"/>
    <w:rsid w:val="7BB8396A"/>
    <w:rsid w:val="7BBF8E7B"/>
    <w:rsid w:val="7BBFB099"/>
    <w:rsid w:val="7BBFBE7D"/>
    <w:rsid w:val="7BBFC43F"/>
    <w:rsid w:val="7BBFE816"/>
    <w:rsid w:val="7BDF5A68"/>
    <w:rsid w:val="7BDF86AB"/>
    <w:rsid w:val="7BE9A521"/>
    <w:rsid w:val="7BEDF696"/>
    <w:rsid w:val="7BEFEA2E"/>
    <w:rsid w:val="7BF4C134"/>
    <w:rsid w:val="7BF709A8"/>
    <w:rsid w:val="7BFBEF50"/>
    <w:rsid w:val="7BFE0BEB"/>
    <w:rsid w:val="7BFEADC8"/>
    <w:rsid w:val="7BFF2D4E"/>
    <w:rsid w:val="7BFF91A3"/>
    <w:rsid w:val="7BFFE419"/>
    <w:rsid w:val="7C3FCAFB"/>
    <w:rsid w:val="7C7D5DA1"/>
    <w:rsid w:val="7CA3F6D1"/>
    <w:rsid w:val="7CBAA049"/>
    <w:rsid w:val="7CBC2AF1"/>
    <w:rsid w:val="7CBC78C2"/>
    <w:rsid w:val="7CBF30BD"/>
    <w:rsid w:val="7CD9AB5B"/>
    <w:rsid w:val="7CDEE3C3"/>
    <w:rsid w:val="7CFB439A"/>
    <w:rsid w:val="7CFD5908"/>
    <w:rsid w:val="7CFFE11D"/>
    <w:rsid w:val="7D335753"/>
    <w:rsid w:val="7D3E436A"/>
    <w:rsid w:val="7D3F7812"/>
    <w:rsid w:val="7D534813"/>
    <w:rsid w:val="7D63AF93"/>
    <w:rsid w:val="7D667200"/>
    <w:rsid w:val="7D7AC7C4"/>
    <w:rsid w:val="7D7BF88E"/>
    <w:rsid w:val="7D7D7E2B"/>
    <w:rsid w:val="7D7F3B2D"/>
    <w:rsid w:val="7D7F9D74"/>
    <w:rsid w:val="7D86FB7B"/>
    <w:rsid w:val="7D9F1D85"/>
    <w:rsid w:val="7DA76E05"/>
    <w:rsid w:val="7DAFDF97"/>
    <w:rsid w:val="7DBBABBA"/>
    <w:rsid w:val="7DBBAD0D"/>
    <w:rsid w:val="7DBF1ABF"/>
    <w:rsid w:val="7DBF26EB"/>
    <w:rsid w:val="7DCD9314"/>
    <w:rsid w:val="7DD714E7"/>
    <w:rsid w:val="7DD982DC"/>
    <w:rsid w:val="7DDCD867"/>
    <w:rsid w:val="7DDF5A57"/>
    <w:rsid w:val="7DDF730F"/>
    <w:rsid w:val="7DDFB559"/>
    <w:rsid w:val="7DDFF0BD"/>
    <w:rsid w:val="7DE7048F"/>
    <w:rsid w:val="7DE7D41B"/>
    <w:rsid w:val="7DE9A47D"/>
    <w:rsid w:val="7DEFA49C"/>
    <w:rsid w:val="7DEFE60F"/>
    <w:rsid w:val="7DF15042"/>
    <w:rsid w:val="7DF5692E"/>
    <w:rsid w:val="7DF75123"/>
    <w:rsid w:val="7DFBE3A5"/>
    <w:rsid w:val="7DFFE20E"/>
    <w:rsid w:val="7E3BDDD7"/>
    <w:rsid w:val="7E3F5069"/>
    <w:rsid w:val="7E3F8D00"/>
    <w:rsid w:val="7E4D0A6C"/>
    <w:rsid w:val="7E576537"/>
    <w:rsid w:val="7E5953A7"/>
    <w:rsid w:val="7E63351D"/>
    <w:rsid w:val="7E6BD193"/>
    <w:rsid w:val="7E6E20DC"/>
    <w:rsid w:val="7E6F3C72"/>
    <w:rsid w:val="7E77408B"/>
    <w:rsid w:val="7E77B4B9"/>
    <w:rsid w:val="7E7DD2B5"/>
    <w:rsid w:val="7E7E93FB"/>
    <w:rsid w:val="7E7F67CA"/>
    <w:rsid w:val="7E7F6D9D"/>
    <w:rsid w:val="7E970A59"/>
    <w:rsid w:val="7EA5A4D4"/>
    <w:rsid w:val="7EB25ADB"/>
    <w:rsid w:val="7EB905C6"/>
    <w:rsid w:val="7EBF1A19"/>
    <w:rsid w:val="7EBF69FB"/>
    <w:rsid w:val="7EBF926A"/>
    <w:rsid w:val="7EBFAB83"/>
    <w:rsid w:val="7EBFB987"/>
    <w:rsid w:val="7EBFDA64"/>
    <w:rsid w:val="7EBFE310"/>
    <w:rsid w:val="7EC72683"/>
    <w:rsid w:val="7ED35725"/>
    <w:rsid w:val="7ED736AB"/>
    <w:rsid w:val="7ED74716"/>
    <w:rsid w:val="7EDD6819"/>
    <w:rsid w:val="7EDFE14B"/>
    <w:rsid w:val="7EE18FC6"/>
    <w:rsid w:val="7EE52717"/>
    <w:rsid w:val="7EE73D10"/>
    <w:rsid w:val="7EECDE6D"/>
    <w:rsid w:val="7EEEF0D5"/>
    <w:rsid w:val="7EF77B32"/>
    <w:rsid w:val="7EFA5462"/>
    <w:rsid w:val="7EFB7D69"/>
    <w:rsid w:val="7EFD4B7A"/>
    <w:rsid w:val="7EFD76BF"/>
    <w:rsid w:val="7EFDC2D1"/>
    <w:rsid w:val="7EFEF5EF"/>
    <w:rsid w:val="7EFF1EB9"/>
    <w:rsid w:val="7EFF5E2E"/>
    <w:rsid w:val="7EFF78A7"/>
    <w:rsid w:val="7EFFB1DA"/>
    <w:rsid w:val="7EFFFB77"/>
    <w:rsid w:val="7F0E82C5"/>
    <w:rsid w:val="7F3CF879"/>
    <w:rsid w:val="7F3E1B73"/>
    <w:rsid w:val="7F3F65BC"/>
    <w:rsid w:val="7F4AE3C4"/>
    <w:rsid w:val="7F54CF04"/>
    <w:rsid w:val="7F5E931D"/>
    <w:rsid w:val="7F5F9CB5"/>
    <w:rsid w:val="7F5FC994"/>
    <w:rsid w:val="7F63E371"/>
    <w:rsid w:val="7F65A1F7"/>
    <w:rsid w:val="7F6D955D"/>
    <w:rsid w:val="7F6F76EE"/>
    <w:rsid w:val="7F7233B7"/>
    <w:rsid w:val="7F752AFC"/>
    <w:rsid w:val="7F77BABA"/>
    <w:rsid w:val="7F79781A"/>
    <w:rsid w:val="7F7EA68C"/>
    <w:rsid w:val="7F7F455B"/>
    <w:rsid w:val="7F7F6DF1"/>
    <w:rsid w:val="7F7F96BC"/>
    <w:rsid w:val="7F8650C2"/>
    <w:rsid w:val="7F8B51B4"/>
    <w:rsid w:val="7F8C72DA"/>
    <w:rsid w:val="7F8E487E"/>
    <w:rsid w:val="7F96D1F2"/>
    <w:rsid w:val="7F99D227"/>
    <w:rsid w:val="7F99DB6B"/>
    <w:rsid w:val="7F9B805F"/>
    <w:rsid w:val="7F9D9275"/>
    <w:rsid w:val="7F9F3C9F"/>
    <w:rsid w:val="7FA51525"/>
    <w:rsid w:val="7FA7D29F"/>
    <w:rsid w:val="7FAB8FBF"/>
    <w:rsid w:val="7FAEF149"/>
    <w:rsid w:val="7FAFE5D5"/>
    <w:rsid w:val="7FB2EF38"/>
    <w:rsid w:val="7FB7332F"/>
    <w:rsid w:val="7FB75892"/>
    <w:rsid w:val="7FBAAD3B"/>
    <w:rsid w:val="7FBACC52"/>
    <w:rsid w:val="7FBB534D"/>
    <w:rsid w:val="7FBCD19C"/>
    <w:rsid w:val="7FBD44A0"/>
    <w:rsid w:val="7FBF05FD"/>
    <w:rsid w:val="7FBF3927"/>
    <w:rsid w:val="7FC70CD1"/>
    <w:rsid w:val="7FC7E94E"/>
    <w:rsid w:val="7FCFEE5C"/>
    <w:rsid w:val="7FDB2490"/>
    <w:rsid w:val="7FDB659E"/>
    <w:rsid w:val="7FDBA045"/>
    <w:rsid w:val="7FDBA7E2"/>
    <w:rsid w:val="7FDBC51E"/>
    <w:rsid w:val="7FDC6724"/>
    <w:rsid w:val="7FDC6B27"/>
    <w:rsid w:val="7FDD469F"/>
    <w:rsid w:val="7FDD9D8C"/>
    <w:rsid w:val="7FDE0476"/>
    <w:rsid w:val="7FDE2C05"/>
    <w:rsid w:val="7FDF1A67"/>
    <w:rsid w:val="7FDF3A9E"/>
    <w:rsid w:val="7FDF49FC"/>
    <w:rsid w:val="7FDF6B3D"/>
    <w:rsid w:val="7FDF74FB"/>
    <w:rsid w:val="7FDFBAD6"/>
    <w:rsid w:val="7FDFBDE2"/>
    <w:rsid w:val="7FDFDCBA"/>
    <w:rsid w:val="7FE47324"/>
    <w:rsid w:val="7FE63956"/>
    <w:rsid w:val="7FE743C9"/>
    <w:rsid w:val="7FE77B80"/>
    <w:rsid w:val="7FE7D543"/>
    <w:rsid w:val="7FE97DFC"/>
    <w:rsid w:val="7FE9CFD7"/>
    <w:rsid w:val="7FEBF3EF"/>
    <w:rsid w:val="7FEDC18E"/>
    <w:rsid w:val="7FEDF89D"/>
    <w:rsid w:val="7FEEEA8D"/>
    <w:rsid w:val="7FEF28B7"/>
    <w:rsid w:val="7FF17BC7"/>
    <w:rsid w:val="7FF45150"/>
    <w:rsid w:val="7FF5CD3C"/>
    <w:rsid w:val="7FF6AECA"/>
    <w:rsid w:val="7FF70958"/>
    <w:rsid w:val="7FF72A87"/>
    <w:rsid w:val="7FF739BA"/>
    <w:rsid w:val="7FF77080"/>
    <w:rsid w:val="7FF7CA58"/>
    <w:rsid w:val="7FF7EFEC"/>
    <w:rsid w:val="7FF82F1A"/>
    <w:rsid w:val="7FF89FBA"/>
    <w:rsid w:val="7FF91170"/>
    <w:rsid w:val="7FF91220"/>
    <w:rsid w:val="7FF9B43D"/>
    <w:rsid w:val="7FF9D70C"/>
    <w:rsid w:val="7FFA6E86"/>
    <w:rsid w:val="7FFB734A"/>
    <w:rsid w:val="7FFB8BDF"/>
    <w:rsid w:val="7FFBB011"/>
    <w:rsid w:val="7FFCC198"/>
    <w:rsid w:val="7FFE2FE0"/>
    <w:rsid w:val="7FFE535E"/>
    <w:rsid w:val="7FFE58BA"/>
    <w:rsid w:val="7FFE671F"/>
    <w:rsid w:val="7FFEE6C4"/>
    <w:rsid w:val="7FFF2328"/>
    <w:rsid w:val="7FFF35AE"/>
    <w:rsid w:val="7FFF51A8"/>
    <w:rsid w:val="7FFF5FD8"/>
    <w:rsid w:val="7FFF7EA0"/>
    <w:rsid w:val="7FFF8A08"/>
    <w:rsid w:val="7FFF9279"/>
    <w:rsid w:val="7FFFADBD"/>
    <w:rsid w:val="7FFFB8BF"/>
    <w:rsid w:val="7FFFBB92"/>
    <w:rsid w:val="83BEA99D"/>
    <w:rsid w:val="83D7C3EF"/>
    <w:rsid w:val="88D34ED9"/>
    <w:rsid w:val="88EE8C20"/>
    <w:rsid w:val="896D6C5A"/>
    <w:rsid w:val="8B772674"/>
    <w:rsid w:val="8CDD030A"/>
    <w:rsid w:val="8DFFEE24"/>
    <w:rsid w:val="8EEDCBF2"/>
    <w:rsid w:val="8EFF69A0"/>
    <w:rsid w:val="8F5FC3F3"/>
    <w:rsid w:val="8F9F5340"/>
    <w:rsid w:val="8FC49B67"/>
    <w:rsid w:val="8FE5A66E"/>
    <w:rsid w:val="8FE98226"/>
    <w:rsid w:val="905ED8D5"/>
    <w:rsid w:val="90BFD4C4"/>
    <w:rsid w:val="93DE1A29"/>
    <w:rsid w:val="93DE38A0"/>
    <w:rsid w:val="95AF8EF9"/>
    <w:rsid w:val="95B73A22"/>
    <w:rsid w:val="95BF925B"/>
    <w:rsid w:val="95F7EC39"/>
    <w:rsid w:val="96FF3E5E"/>
    <w:rsid w:val="972D2CF5"/>
    <w:rsid w:val="973DE84B"/>
    <w:rsid w:val="975765D1"/>
    <w:rsid w:val="977F01CE"/>
    <w:rsid w:val="978F92A5"/>
    <w:rsid w:val="97B28B17"/>
    <w:rsid w:val="97BD0F9F"/>
    <w:rsid w:val="97D3E8FE"/>
    <w:rsid w:val="97FA97A0"/>
    <w:rsid w:val="99B923FC"/>
    <w:rsid w:val="99CBCA78"/>
    <w:rsid w:val="9AFF34B6"/>
    <w:rsid w:val="9B3E0964"/>
    <w:rsid w:val="9B7F6C75"/>
    <w:rsid w:val="9BED0746"/>
    <w:rsid w:val="9BFB99ED"/>
    <w:rsid w:val="9CFB47C0"/>
    <w:rsid w:val="9D5FF910"/>
    <w:rsid w:val="9D95FC37"/>
    <w:rsid w:val="9DAD78E3"/>
    <w:rsid w:val="9DF66F2F"/>
    <w:rsid w:val="9DF8D734"/>
    <w:rsid w:val="9E7E373D"/>
    <w:rsid w:val="9E7F9400"/>
    <w:rsid w:val="9EBF3F6F"/>
    <w:rsid w:val="9EFDDE1E"/>
    <w:rsid w:val="9EFF64E3"/>
    <w:rsid w:val="9F6644DF"/>
    <w:rsid w:val="9F8C6F3F"/>
    <w:rsid w:val="9FA75BDF"/>
    <w:rsid w:val="9FB7F0B3"/>
    <w:rsid w:val="9FBF4499"/>
    <w:rsid w:val="9FDF9123"/>
    <w:rsid w:val="9FEA4701"/>
    <w:rsid w:val="9FED8033"/>
    <w:rsid w:val="9FEDADD9"/>
    <w:rsid w:val="9FF104AB"/>
    <w:rsid w:val="9FFB2E73"/>
    <w:rsid w:val="9FFB8A2D"/>
    <w:rsid w:val="9FFE26C2"/>
    <w:rsid w:val="9FFFAE0C"/>
    <w:rsid w:val="A54E2636"/>
    <w:rsid w:val="A5F72530"/>
    <w:rsid w:val="A67EDF37"/>
    <w:rsid w:val="A6DFCA84"/>
    <w:rsid w:val="A6F2992A"/>
    <w:rsid w:val="A78D44DF"/>
    <w:rsid w:val="A7AB6A73"/>
    <w:rsid w:val="A7F5DBED"/>
    <w:rsid w:val="A7FFDEAE"/>
    <w:rsid w:val="A8CFF841"/>
    <w:rsid w:val="A9D70E02"/>
    <w:rsid w:val="A9FD6FCB"/>
    <w:rsid w:val="AAFF7B40"/>
    <w:rsid w:val="AB3FDA63"/>
    <w:rsid w:val="AB4B2C70"/>
    <w:rsid w:val="AB71DA47"/>
    <w:rsid w:val="AB7B6FC3"/>
    <w:rsid w:val="ABBC524A"/>
    <w:rsid w:val="ABF2783C"/>
    <w:rsid w:val="ABFF3B85"/>
    <w:rsid w:val="AC3ECB66"/>
    <w:rsid w:val="ACB7E595"/>
    <w:rsid w:val="AD7F2534"/>
    <w:rsid w:val="ADF6C8B0"/>
    <w:rsid w:val="AEA785E1"/>
    <w:rsid w:val="AEBFC3FF"/>
    <w:rsid w:val="AEEC4714"/>
    <w:rsid w:val="AEED637D"/>
    <w:rsid w:val="AEEFC1C2"/>
    <w:rsid w:val="AEFA1517"/>
    <w:rsid w:val="AEFFFF05"/>
    <w:rsid w:val="AF5A3E8D"/>
    <w:rsid w:val="AF7F8CD0"/>
    <w:rsid w:val="AFA97FCA"/>
    <w:rsid w:val="AFC7DB39"/>
    <w:rsid w:val="AFF69F65"/>
    <w:rsid w:val="AFFB5160"/>
    <w:rsid w:val="AFFD7EEF"/>
    <w:rsid w:val="B08F8079"/>
    <w:rsid w:val="B0FFE660"/>
    <w:rsid w:val="B1F92DC4"/>
    <w:rsid w:val="B23746B7"/>
    <w:rsid w:val="B27FC5E6"/>
    <w:rsid w:val="B30F9316"/>
    <w:rsid w:val="B31FB56F"/>
    <w:rsid w:val="B36A2442"/>
    <w:rsid w:val="B37BA7B2"/>
    <w:rsid w:val="B37F7188"/>
    <w:rsid w:val="B39EE56E"/>
    <w:rsid w:val="B3AD75D0"/>
    <w:rsid w:val="B3AFC55A"/>
    <w:rsid w:val="B3C7A940"/>
    <w:rsid w:val="B3D77B4B"/>
    <w:rsid w:val="B3FBF516"/>
    <w:rsid w:val="B3FF90B2"/>
    <w:rsid w:val="B3FFB8F8"/>
    <w:rsid w:val="B4FF84C1"/>
    <w:rsid w:val="B5D3664E"/>
    <w:rsid w:val="B5DF5E38"/>
    <w:rsid w:val="B5F7E2E6"/>
    <w:rsid w:val="B5FF5ACE"/>
    <w:rsid w:val="B681D21A"/>
    <w:rsid w:val="B6E7DBD5"/>
    <w:rsid w:val="B6F5CC48"/>
    <w:rsid w:val="B6FD8D97"/>
    <w:rsid w:val="B6FF4F4E"/>
    <w:rsid w:val="B76F3861"/>
    <w:rsid w:val="B775FEDA"/>
    <w:rsid w:val="B77718A3"/>
    <w:rsid w:val="B7B7615F"/>
    <w:rsid w:val="B7BBE8B8"/>
    <w:rsid w:val="B7BF2C4A"/>
    <w:rsid w:val="B7CBA168"/>
    <w:rsid w:val="B7D7FD60"/>
    <w:rsid w:val="B7DFE7D2"/>
    <w:rsid w:val="B7EB71FD"/>
    <w:rsid w:val="B7F83E3F"/>
    <w:rsid w:val="B7F93F1D"/>
    <w:rsid w:val="B7FD12C2"/>
    <w:rsid w:val="B7FF0650"/>
    <w:rsid w:val="B866FCE3"/>
    <w:rsid w:val="B8DF3619"/>
    <w:rsid w:val="B8F5C58D"/>
    <w:rsid w:val="B9BF5A59"/>
    <w:rsid w:val="B9C33422"/>
    <w:rsid w:val="BA6EB032"/>
    <w:rsid w:val="BA9926E1"/>
    <w:rsid w:val="BAAB08D4"/>
    <w:rsid w:val="BAB3F0FA"/>
    <w:rsid w:val="BAB50746"/>
    <w:rsid w:val="BABF3431"/>
    <w:rsid w:val="BADE707F"/>
    <w:rsid w:val="BAF91750"/>
    <w:rsid w:val="BAFBF9CF"/>
    <w:rsid w:val="BAFE82D2"/>
    <w:rsid w:val="BB790FCE"/>
    <w:rsid w:val="BB93B975"/>
    <w:rsid w:val="BBE746ED"/>
    <w:rsid w:val="BBEA5193"/>
    <w:rsid w:val="BBEF998F"/>
    <w:rsid w:val="BBF9B46E"/>
    <w:rsid w:val="BBFBA6C0"/>
    <w:rsid w:val="BBFF01CE"/>
    <w:rsid w:val="BC77A915"/>
    <w:rsid w:val="BCCD3C9D"/>
    <w:rsid w:val="BCD31A16"/>
    <w:rsid w:val="BCFB3200"/>
    <w:rsid w:val="BD1B8855"/>
    <w:rsid w:val="BD359BD8"/>
    <w:rsid w:val="BD3C0F03"/>
    <w:rsid w:val="BD7F01F2"/>
    <w:rsid w:val="BD7F4E9B"/>
    <w:rsid w:val="BDBB7349"/>
    <w:rsid w:val="BDDF3474"/>
    <w:rsid w:val="BDEBC392"/>
    <w:rsid w:val="BDEBCAA3"/>
    <w:rsid w:val="BDECF231"/>
    <w:rsid w:val="BDEF6314"/>
    <w:rsid w:val="BDF652C0"/>
    <w:rsid w:val="BDFD6C6A"/>
    <w:rsid w:val="BE3F1500"/>
    <w:rsid w:val="BE6F18BB"/>
    <w:rsid w:val="BE7FB923"/>
    <w:rsid w:val="BE9F7AE2"/>
    <w:rsid w:val="BEDF3D4D"/>
    <w:rsid w:val="BEDF6B0F"/>
    <w:rsid w:val="BEEE5B5A"/>
    <w:rsid w:val="BEF4FF63"/>
    <w:rsid w:val="BEF5DE31"/>
    <w:rsid w:val="BEF7A6A9"/>
    <w:rsid w:val="BEFD026A"/>
    <w:rsid w:val="BEFE07B0"/>
    <w:rsid w:val="BEFF8E37"/>
    <w:rsid w:val="BF262C23"/>
    <w:rsid w:val="BF3F4E80"/>
    <w:rsid w:val="BF57D2B2"/>
    <w:rsid w:val="BF5B3392"/>
    <w:rsid w:val="BF6F610D"/>
    <w:rsid w:val="BF759AB4"/>
    <w:rsid w:val="BF773B43"/>
    <w:rsid w:val="BF78A70E"/>
    <w:rsid w:val="BF7E5DA3"/>
    <w:rsid w:val="BF7F72C4"/>
    <w:rsid w:val="BF9A6124"/>
    <w:rsid w:val="BF9DA5C3"/>
    <w:rsid w:val="BFADD4D4"/>
    <w:rsid w:val="BFAFE85B"/>
    <w:rsid w:val="BFB0A363"/>
    <w:rsid w:val="BFBD268B"/>
    <w:rsid w:val="BFBDB146"/>
    <w:rsid w:val="BFBF1FBD"/>
    <w:rsid w:val="BFBF7970"/>
    <w:rsid w:val="BFC71CC8"/>
    <w:rsid w:val="BFCDAF5F"/>
    <w:rsid w:val="BFCFA6E0"/>
    <w:rsid w:val="BFD7AEFE"/>
    <w:rsid w:val="BFD7E9D1"/>
    <w:rsid w:val="BFDBB326"/>
    <w:rsid w:val="BFDD4D34"/>
    <w:rsid w:val="BFDD686C"/>
    <w:rsid w:val="BFDF4084"/>
    <w:rsid w:val="BFE18A73"/>
    <w:rsid w:val="BFE8E81C"/>
    <w:rsid w:val="BFEB6AE0"/>
    <w:rsid w:val="BFEEAF6B"/>
    <w:rsid w:val="BFEEE74A"/>
    <w:rsid w:val="BFEFDBD9"/>
    <w:rsid w:val="BFF133D0"/>
    <w:rsid w:val="BFF75096"/>
    <w:rsid w:val="BFFB35C3"/>
    <w:rsid w:val="BFFCAE14"/>
    <w:rsid w:val="BFFE69DA"/>
    <w:rsid w:val="BFFE7C22"/>
    <w:rsid w:val="BFFF1158"/>
    <w:rsid w:val="BFFF4260"/>
    <w:rsid w:val="BFFF4E26"/>
    <w:rsid w:val="BFFFDF37"/>
    <w:rsid w:val="BFFFF51A"/>
    <w:rsid w:val="C1E50C1B"/>
    <w:rsid w:val="C1FF0818"/>
    <w:rsid w:val="C4A7E2DE"/>
    <w:rsid w:val="C4F5833F"/>
    <w:rsid w:val="C57EBC00"/>
    <w:rsid w:val="C6ED7651"/>
    <w:rsid w:val="C71BDFC8"/>
    <w:rsid w:val="C77900FC"/>
    <w:rsid w:val="C7CFF033"/>
    <w:rsid w:val="C7E1523B"/>
    <w:rsid w:val="C7E2974F"/>
    <w:rsid w:val="C7E7EC7C"/>
    <w:rsid w:val="C7FF9D38"/>
    <w:rsid w:val="C7FFCA60"/>
    <w:rsid w:val="C87D21C0"/>
    <w:rsid w:val="CA3B380B"/>
    <w:rsid w:val="CAFEF8BB"/>
    <w:rsid w:val="CAFF8BD3"/>
    <w:rsid w:val="CB7F0C80"/>
    <w:rsid w:val="CBF7C588"/>
    <w:rsid w:val="CBFEA1D5"/>
    <w:rsid w:val="CCD9EC6B"/>
    <w:rsid w:val="CCDD3801"/>
    <w:rsid w:val="CD572488"/>
    <w:rsid w:val="CDB3EA9C"/>
    <w:rsid w:val="CDCF6D7E"/>
    <w:rsid w:val="CEBF3085"/>
    <w:rsid w:val="CECB2658"/>
    <w:rsid w:val="CEF11E32"/>
    <w:rsid w:val="CEFDA598"/>
    <w:rsid w:val="CF3F43D9"/>
    <w:rsid w:val="CF3FA918"/>
    <w:rsid w:val="CF5FEA4D"/>
    <w:rsid w:val="CF67E723"/>
    <w:rsid w:val="CF7F17B5"/>
    <w:rsid w:val="CFAE6052"/>
    <w:rsid w:val="CFB38CEF"/>
    <w:rsid w:val="CFBF46BA"/>
    <w:rsid w:val="CFC77228"/>
    <w:rsid w:val="CFDED729"/>
    <w:rsid w:val="CFEBEFC1"/>
    <w:rsid w:val="CFFAD29B"/>
    <w:rsid w:val="CFFF7083"/>
    <w:rsid w:val="D1B7F13B"/>
    <w:rsid w:val="D2ED945D"/>
    <w:rsid w:val="D2FF78A5"/>
    <w:rsid w:val="D33FB3CE"/>
    <w:rsid w:val="D3CD1298"/>
    <w:rsid w:val="D3DF755E"/>
    <w:rsid w:val="D4576BFC"/>
    <w:rsid w:val="D5FFE9CA"/>
    <w:rsid w:val="D63F4A14"/>
    <w:rsid w:val="D69EC2B8"/>
    <w:rsid w:val="D6F3BB5F"/>
    <w:rsid w:val="D6FF6D4F"/>
    <w:rsid w:val="D73E3A59"/>
    <w:rsid w:val="D766FDC2"/>
    <w:rsid w:val="D76E0471"/>
    <w:rsid w:val="D77B34D6"/>
    <w:rsid w:val="D77D6BEA"/>
    <w:rsid w:val="D77E25C4"/>
    <w:rsid w:val="D77FB471"/>
    <w:rsid w:val="D7AF93BD"/>
    <w:rsid w:val="D7BB120F"/>
    <w:rsid w:val="D7BE2646"/>
    <w:rsid w:val="D7DDB3CE"/>
    <w:rsid w:val="D7DF3853"/>
    <w:rsid w:val="D7E6F2F0"/>
    <w:rsid w:val="D7E71E37"/>
    <w:rsid w:val="D7E889EF"/>
    <w:rsid w:val="D7EF4234"/>
    <w:rsid w:val="D7EF94AC"/>
    <w:rsid w:val="D7F6A63C"/>
    <w:rsid w:val="D7FFA8E7"/>
    <w:rsid w:val="D7FFF998"/>
    <w:rsid w:val="D8BE7E9E"/>
    <w:rsid w:val="D91FB9E9"/>
    <w:rsid w:val="D9790A56"/>
    <w:rsid w:val="D9BC6482"/>
    <w:rsid w:val="D9BE499B"/>
    <w:rsid w:val="D9EFA7DA"/>
    <w:rsid w:val="D9FDC505"/>
    <w:rsid w:val="DAAE8894"/>
    <w:rsid w:val="DAE56B1A"/>
    <w:rsid w:val="DAEF1B47"/>
    <w:rsid w:val="DAF53220"/>
    <w:rsid w:val="DAFBAACA"/>
    <w:rsid w:val="DB3E11E5"/>
    <w:rsid w:val="DB7F0566"/>
    <w:rsid w:val="DB7F33C5"/>
    <w:rsid w:val="DBB7E437"/>
    <w:rsid w:val="DBBF94EF"/>
    <w:rsid w:val="DBBFD60C"/>
    <w:rsid w:val="DBC917B9"/>
    <w:rsid w:val="DBF28EBE"/>
    <w:rsid w:val="DBF382E2"/>
    <w:rsid w:val="DBFC3939"/>
    <w:rsid w:val="DBFEA991"/>
    <w:rsid w:val="DBFFF93E"/>
    <w:rsid w:val="DCD77C92"/>
    <w:rsid w:val="DCFE27B5"/>
    <w:rsid w:val="DCFF2EDC"/>
    <w:rsid w:val="DD4DFA6C"/>
    <w:rsid w:val="DD6F4991"/>
    <w:rsid w:val="DDABD560"/>
    <w:rsid w:val="DDB6DE3A"/>
    <w:rsid w:val="DDE744CC"/>
    <w:rsid w:val="DDFEF7C9"/>
    <w:rsid w:val="DDFF5164"/>
    <w:rsid w:val="DDFF5919"/>
    <w:rsid w:val="DE757974"/>
    <w:rsid w:val="DE7DFD49"/>
    <w:rsid w:val="DE9EF84A"/>
    <w:rsid w:val="DEBFA76B"/>
    <w:rsid w:val="DEDFB061"/>
    <w:rsid w:val="DEED5FB9"/>
    <w:rsid w:val="DEEFE1E6"/>
    <w:rsid w:val="DEFBF124"/>
    <w:rsid w:val="DF33B0C3"/>
    <w:rsid w:val="DF59BB21"/>
    <w:rsid w:val="DF5F5372"/>
    <w:rsid w:val="DF65531A"/>
    <w:rsid w:val="DF6E02A5"/>
    <w:rsid w:val="DF6F6C15"/>
    <w:rsid w:val="DF7AC081"/>
    <w:rsid w:val="DF7E19D4"/>
    <w:rsid w:val="DF8D9CAB"/>
    <w:rsid w:val="DFA62ED4"/>
    <w:rsid w:val="DFB8455F"/>
    <w:rsid w:val="DFBD77F6"/>
    <w:rsid w:val="DFBDCAB7"/>
    <w:rsid w:val="DFBF348F"/>
    <w:rsid w:val="DFBFEE91"/>
    <w:rsid w:val="DFD7090A"/>
    <w:rsid w:val="DFDB9E19"/>
    <w:rsid w:val="DFDD42EB"/>
    <w:rsid w:val="DFDE7651"/>
    <w:rsid w:val="DFDFB339"/>
    <w:rsid w:val="DFE751B7"/>
    <w:rsid w:val="DFEB155A"/>
    <w:rsid w:val="DFEEF559"/>
    <w:rsid w:val="DFF18277"/>
    <w:rsid w:val="DFF350C4"/>
    <w:rsid w:val="DFF4E67F"/>
    <w:rsid w:val="DFF66A06"/>
    <w:rsid w:val="DFF73DE6"/>
    <w:rsid w:val="DFF747EE"/>
    <w:rsid w:val="DFF79EA6"/>
    <w:rsid w:val="DFF7FD5F"/>
    <w:rsid w:val="DFF809D2"/>
    <w:rsid w:val="DFFA795D"/>
    <w:rsid w:val="DFFC8787"/>
    <w:rsid w:val="DFFE5B8E"/>
    <w:rsid w:val="DFFE7DA1"/>
    <w:rsid w:val="DFFEF8F5"/>
    <w:rsid w:val="DFFF15D7"/>
    <w:rsid w:val="DFFF2D9A"/>
    <w:rsid w:val="DFFFE7E6"/>
    <w:rsid w:val="E056ABD6"/>
    <w:rsid w:val="E2FD7F21"/>
    <w:rsid w:val="E2FE0BEB"/>
    <w:rsid w:val="E3A6EB77"/>
    <w:rsid w:val="E3EF0882"/>
    <w:rsid w:val="E3EF7D3E"/>
    <w:rsid w:val="E3F6FFE3"/>
    <w:rsid w:val="E3FD7367"/>
    <w:rsid w:val="E4FF6BFC"/>
    <w:rsid w:val="E59E69B1"/>
    <w:rsid w:val="E5DF609D"/>
    <w:rsid w:val="E5EB20A6"/>
    <w:rsid w:val="E5F99F59"/>
    <w:rsid w:val="E5FD8D3E"/>
    <w:rsid w:val="E5FE2092"/>
    <w:rsid w:val="E5FF5733"/>
    <w:rsid w:val="E63F0961"/>
    <w:rsid w:val="E64B2482"/>
    <w:rsid w:val="E66BEE54"/>
    <w:rsid w:val="E68E370A"/>
    <w:rsid w:val="E6B408BD"/>
    <w:rsid w:val="E6E7129F"/>
    <w:rsid w:val="E6F57B9E"/>
    <w:rsid w:val="E71F8A8F"/>
    <w:rsid w:val="E777F3DB"/>
    <w:rsid w:val="E77B5F29"/>
    <w:rsid w:val="E77F920D"/>
    <w:rsid w:val="E7B56F8E"/>
    <w:rsid w:val="E7CC39B1"/>
    <w:rsid w:val="E7CF64EF"/>
    <w:rsid w:val="E7DD6EBA"/>
    <w:rsid w:val="E7DDDD18"/>
    <w:rsid w:val="E7F38A8F"/>
    <w:rsid w:val="E7FE238C"/>
    <w:rsid w:val="E7FFB6BF"/>
    <w:rsid w:val="E8799C65"/>
    <w:rsid w:val="E8DF65A7"/>
    <w:rsid w:val="E97D6C57"/>
    <w:rsid w:val="E9B70E1A"/>
    <w:rsid w:val="E9FE073F"/>
    <w:rsid w:val="E9FFC84B"/>
    <w:rsid w:val="EAF53AF5"/>
    <w:rsid w:val="EB5E6E9C"/>
    <w:rsid w:val="EB6B2AF2"/>
    <w:rsid w:val="EB7A062D"/>
    <w:rsid w:val="EB7F9D69"/>
    <w:rsid w:val="EBDD2F84"/>
    <w:rsid w:val="EBE77331"/>
    <w:rsid w:val="EBEF5CFD"/>
    <w:rsid w:val="EBF79ABC"/>
    <w:rsid w:val="EBFB724A"/>
    <w:rsid w:val="EC6FABB8"/>
    <w:rsid w:val="ECCFABFD"/>
    <w:rsid w:val="ECD33A00"/>
    <w:rsid w:val="ECEB7B83"/>
    <w:rsid w:val="ECF56F00"/>
    <w:rsid w:val="ED5F0E0E"/>
    <w:rsid w:val="ED7ECA6D"/>
    <w:rsid w:val="EDB951F5"/>
    <w:rsid w:val="EDBD0F03"/>
    <w:rsid w:val="EDDF433D"/>
    <w:rsid w:val="EDEB04CA"/>
    <w:rsid w:val="EDED22E8"/>
    <w:rsid w:val="EDF53A93"/>
    <w:rsid w:val="EDFF3D71"/>
    <w:rsid w:val="EE07D998"/>
    <w:rsid w:val="EE1B60CB"/>
    <w:rsid w:val="EE7DC629"/>
    <w:rsid w:val="EE7EE73D"/>
    <w:rsid w:val="EEAF81D8"/>
    <w:rsid w:val="EEB7E35C"/>
    <w:rsid w:val="EEF88E99"/>
    <w:rsid w:val="EEFB2098"/>
    <w:rsid w:val="EEFB4BF8"/>
    <w:rsid w:val="EEFF1135"/>
    <w:rsid w:val="EF1B4701"/>
    <w:rsid w:val="EF339C2B"/>
    <w:rsid w:val="EF585086"/>
    <w:rsid w:val="EF5F4A72"/>
    <w:rsid w:val="EF7512CA"/>
    <w:rsid w:val="EF762596"/>
    <w:rsid w:val="EF7A1214"/>
    <w:rsid w:val="EF7DF9EE"/>
    <w:rsid w:val="EF87B8B5"/>
    <w:rsid w:val="EF8E3925"/>
    <w:rsid w:val="EFB69FD5"/>
    <w:rsid w:val="EFBF5284"/>
    <w:rsid w:val="EFCDBF76"/>
    <w:rsid w:val="EFD39840"/>
    <w:rsid w:val="EFD7A2F5"/>
    <w:rsid w:val="EFD7D033"/>
    <w:rsid w:val="EFDB1246"/>
    <w:rsid w:val="EFDB229D"/>
    <w:rsid w:val="EFDB4D0A"/>
    <w:rsid w:val="EFDF0EBA"/>
    <w:rsid w:val="EFDF7FF5"/>
    <w:rsid w:val="EFE1A47C"/>
    <w:rsid w:val="EFE52ACC"/>
    <w:rsid w:val="EFE86AA1"/>
    <w:rsid w:val="EFEFB385"/>
    <w:rsid w:val="EFEFC455"/>
    <w:rsid w:val="EFEFCD75"/>
    <w:rsid w:val="EFF1EADF"/>
    <w:rsid w:val="EFF36C0D"/>
    <w:rsid w:val="EFF7AB78"/>
    <w:rsid w:val="EFFB10CF"/>
    <w:rsid w:val="EFFBABBB"/>
    <w:rsid w:val="EFFDB249"/>
    <w:rsid w:val="EFFDF681"/>
    <w:rsid w:val="EFFE06A2"/>
    <w:rsid w:val="EFFE353B"/>
    <w:rsid w:val="EFFE6B00"/>
    <w:rsid w:val="EFFE77AB"/>
    <w:rsid w:val="EFFF099C"/>
    <w:rsid w:val="EFFF1C87"/>
    <w:rsid w:val="EFFF66EB"/>
    <w:rsid w:val="EFFF9DE0"/>
    <w:rsid w:val="EFFFB04C"/>
    <w:rsid w:val="EFFFB3FE"/>
    <w:rsid w:val="EFFFD10D"/>
    <w:rsid w:val="EFFFE5B9"/>
    <w:rsid w:val="EFFFFB32"/>
    <w:rsid w:val="F0B7A144"/>
    <w:rsid w:val="F0E9FB5E"/>
    <w:rsid w:val="F1C39CF4"/>
    <w:rsid w:val="F1E76D72"/>
    <w:rsid w:val="F23D2A62"/>
    <w:rsid w:val="F2DBC0D1"/>
    <w:rsid w:val="F2E9062B"/>
    <w:rsid w:val="F2FC14BE"/>
    <w:rsid w:val="F2FF1159"/>
    <w:rsid w:val="F341D2E8"/>
    <w:rsid w:val="F34EAC8E"/>
    <w:rsid w:val="F357D679"/>
    <w:rsid w:val="F36F5A5E"/>
    <w:rsid w:val="F377E64D"/>
    <w:rsid w:val="F3B1D8D6"/>
    <w:rsid w:val="F3CF4486"/>
    <w:rsid w:val="F3DD160E"/>
    <w:rsid w:val="F3E7DF01"/>
    <w:rsid w:val="F3FBDF53"/>
    <w:rsid w:val="F3FC9219"/>
    <w:rsid w:val="F3FF4249"/>
    <w:rsid w:val="F3FFE701"/>
    <w:rsid w:val="F4F05808"/>
    <w:rsid w:val="F55190BA"/>
    <w:rsid w:val="F553361E"/>
    <w:rsid w:val="F57FAF31"/>
    <w:rsid w:val="F597D6D3"/>
    <w:rsid w:val="F5AD77E5"/>
    <w:rsid w:val="F5BD4CC0"/>
    <w:rsid w:val="F5BF048D"/>
    <w:rsid w:val="F5C3A3F2"/>
    <w:rsid w:val="F5CE37D5"/>
    <w:rsid w:val="F5CF1164"/>
    <w:rsid w:val="F5EE65FF"/>
    <w:rsid w:val="F5FBB3E2"/>
    <w:rsid w:val="F5FBF4C2"/>
    <w:rsid w:val="F5FD32FA"/>
    <w:rsid w:val="F5FE807E"/>
    <w:rsid w:val="F5FF25E3"/>
    <w:rsid w:val="F5FFA190"/>
    <w:rsid w:val="F636F297"/>
    <w:rsid w:val="F65F9209"/>
    <w:rsid w:val="F67E9A25"/>
    <w:rsid w:val="F67F06D5"/>
    <w:rsid w:val="F67F7A5F"/>
    <w:rsid w:val="F69B0C48"/>
    <w:rsid w:val="F6CAB2ED"/>
    <w:rsid w:val="F6D79811"/>
    <w:rsid w:val="F6DF03A9"/>
    <w:rsid w:val="F6E344AD"/>
    <w:rsid w:val="F6E6171B"/>
    <w:rsid w:val="F6E6C269"/>
    <w:rsid w:val="F6F7B7E6"/>
    <w:rsid w:val="F6FB5896"/>
    <w:rsid w:val="F6FDD491"/>
    <w:rsid w:val="F6FDFA21"/>
    <w:rsid w:val="F6FE1CF7"/>
    <w:rsid w:val="F71D7521"/>
    <w:rsid w:val="F72D7770"/>
    <w:rsid w:val="F73EC6AA"/>
    <w:rsid w:val="F73F1A5D"/>
    <w:rsid w:val="F73F377D"/>
    <w:rsid w:val="F75F734D"/>
    <w:rsid w:val="F76FFCCC"/>
    <w:rsid w:val="F77D06F5"/>
    <w:rsid w:val="F77E4564"/>
    <w:rsid w:val="F77F8F29"/>
    <w:rsid w:val="F79EE30A"/>
    <w:rsid w:val="F7A185BA"/>
    <w:rsid w:val="F7AF0FC7"/>
    <w:rsid w:val="F7B25E47"/>
    <w:rsid w:val="F7B6148E"/>
    <w:rsid w:val="F7BFFF62"/>
    <w:rsid w:val="F7CE4BBA"/>
    <w:rsid w:val="F7D617C9"/>
    <w:rsid w:val="F7DE5C9B"/>
    <w:rsid w:val="F7DED979"/>
    <w:rsid w:val="F7E6731E"/>
    <w:rsid w:val="F7E7F82F"/>
    <w:rsid w:val="F7EAC192"/>
    <w:rsid w:val="F7EE1BAB"/>
    <w:rsid w:val="F7F74400"/>
    <w:rsid w:val="F7F79F89"/>
    <w:rsid w:val="F7F7F133"/>
    <w:rsid w:val="F7FB18A3"/>
    <w:rsid w:val="F7FD8C48"/>
    <w:rsid w:val="F7FF4521"/>
    <w:rsid w:val="F7FF5B7F"/>
    <w:rsid w:val="F7FF7BCC"/>
    <w:rsid w:val="F7FFB704"/>
    <w:rsid w:val="F7FFE6BE"/>
    <w:rsid w:val="F97DBC05"/>
    <w:rsid w:val="F9AF96F8"/>
    <w:rsid w:val="F9E97D5A"/>
    <w:rsid w:val="F9EE2046"/>
    <w:rsid w:val="F9FDF908"/>
    <w:rsid w:val="F9FE3546"/>
    <w:rsid w:val="F9FFA23B"/>
    <w:rsid w:val="F9FFE834"/>
    <w:rsid w:val="FA7EB0BB"/>
    <w:rsid w:val="FA7EC7CE"/>
    <w:rsid w:val="FA7F596C"/>
    <w:rsid w:val="FA9F1B91"/>
    <w:rsid w:val="FA9FA308"/>
    <w:rsid w:val="FAB1754A"/>
    <w:rsid w:val="FAB1D3DF"/>
    <w:rsid w:val="FACBA644"/>
    <w:rsid w:val="FADB77C0"/>
    <w:rsid w:val="FADD21A1"/>
    <w:rsid w:val="FADE2182"/>
    <w:rsid w:val="FB357C83"/>
    <w:rsid w:val="FB3D5285"/>
    <w:rsid w:val="FB5579C5"/>
    <w:rsid w:val="FB5B31ED"/>
    <w:rsid w:val="FB6E149F"/>
    <w:rsid w:val="FB6E5654"/>
    <w:rsid w:val="FB6FE563"/>
    <w:rsid w:val="FB7560DD"/>
    <w:rsid w:val="FB757336"/>
    <w:rsid w:val="FB760EDD"/>
    <w:rsid w:val="FB76D9D0"/>
    <w:rsid w:val="FB7BA62D"/>
    <w:rsid w:val="FB9281E7"/>
    <w:rsid w:val="FBAFA24B"/>
    <w:rsid w:val="FBB53063"/>
    <w:rsid w:val="FBB72404"/>
    <w:rsid w:val="FBBE3F24"/>
    <w:rsid w:val="FBBF5404"/>
    <w:rsid w:val="FBBF715D"/>
    <w:rsid w:val="FBCFA610"/>
    <w:rsid w:val="FBDEA071"/>
    <w:rsid w:val="FBDEFC86"/>
    <w:rsid w:val="FBE76DED"/>
    <w:rsid w:val="FBEDA8D3"/>
    <w:rsid w:val="FBEDAA1F"/>
    <w:rsid w:val="FBEF3A77"/>
    <w:rsid w:val="FBEF9230"/>
    <w:rsid w:val="FBF5224F"/>
    <w:rsid w:val="FBF7C1A7"/>
    <w:rsid w:val="FBF7F6BC"/>
    <w:rsid w:val="FBF92331"/>
    <w:rsid w:val="FBF92BEC"/>
    <w:rsid w:val="FBFB5DFE"/>
    <w:rsid w:val="FBFB6234"/>
    <w:rsid w:val="FBFD336C"/>
    <w:rsid w:val="FBFD3C0D"/>
    <w:rsid w:val="FBFDA925"/>
    <w:rsid w:val="FBFE92CC"/>
    <w:rsid w:val="FBFE945A"/>
    <w:rsid w:val="FBFEE76A"/>
    <w:rsid w:val="FBFF1800"/>
    <w:rsid w:val="FBFF36D1"/>
    <w:rsid w:val="FBFF5824"/>
    <w:rsid w:val="FBFFD873"/>
    <w:rsid w:val="FBFFF4D1"/>
    <w:rsid w:val="FC4C6AD4"/>
    <w:rsid w:val="FC7F5FED"/>
    <w:rsid w:val="FC8C9D4B"/>
    <w:rsid w:val="FCD14F5B"/>
    <w:rsid w:val="FCD2591D"/>
    <w:rsid w:val="FCD94995"/>
    <w:rsid w:val="FCDB893C"/>
    <w:rsid w:val="FCDBCD1B"/>
    <w:rsid w:val="FCF1DACD"/>
    <w:rsid w:val="FCF34D53"/>
    <w:rsid w:val="FCF74E93"/>
    <w:rsid w:val="FCF7B9CB"/>
    <w:rsid w:val="FCFACEE3"/>
    <w:rsid w:val="FCFD6BC2"/>
    <w:rsid w:val="FD0F80FD"/>
    <w:rsid w:val="FD132110"/>
    <w:rsid w:val="FD1B6966"/>
    <w:rsid w:val="FD1B70AE"/>
    <w:rsid w:val="FD2F0361"/>
    <w:rsid w:val="FD2F5759"/>
    <w:rsid w:val="FD3AB559"/>
    <w:rsid w:val="FD46CDEA"/>
    <w:rsid w:val="FD552697"/>
    <w:rsid w:val="FD5E43DD"/>
    <w:rsid w:val="FD6BAA39"/>
    <w:rsid w:val="FD76DEC1"/>
    <w:rsid w:val="FD7F33B5"/>
    <w:rsid w:val="FD7F37BA"/>
    <w:rsid w:val="FD9611DD"/>
    <w:rsid w:val="FD9B293B"/>
    <w:rsid w:val="FD9E736B"/>
    <w:rsid w:val="FDACED69"/>
    <w:rsid w:val="FDAF5A2E"/>
    <w:rsid w:val="FDBF1F60"/>
    <w:rsid w:val="FDBF5DA0"/>
    <w:rsid w:val="FDC77165"/>
    <w:rsid w:val="FDCD710B"/>
    <w:rsid w:val="FDCFFB3E"/>
    <w:rsid w:val="FDD6C7EE"/>
    <w:rsid w:val="FDD856EF"/>
    <w:rsid w:val="FDE7852B"/>
    <w:rsid w:val="FDEBFA7C"/>
    <w:rsid w:val="FDEF5661"/>
    <w:rsid w:val="FDF262E4"/>
    <w:rsid w:val="FDF89AEF"/>
    <w:rsid w:val="FDFE04EB"/>
    <w:rsid w:val="FDFF0707"/>
    <w:rsid w:val="FDFF9BBC"/>
    <w:rsid w:val="FE1F168D"/>
    <w:rsid w:val="FE3E5F86"/>
    <w:rsid w:val="FE5302BC"/>
    <w:rsid w:val="FE78630F"/>
    <w:rsid w:val="FE7D5049"/>
    <w:rsid w:val="FEAC3504"/>
    <w:rsid w:val="FEAEDF76"/>
    <w:rsid w:val="FEB60EA1"/>
    <w:rsid w:val="FEB61403"/>
    <w:rsid w:val="FEB72572"/>
    <w:rsid w:val="FEBF11F1"/>
    <w:rsid w:val="FED3A814"/>
    <w:rsid w:val="FED5EE4C"/>
    <w:rsid w:val="FEDB7DF2"/>
    <w:rsid w:val="FEDB8C3D"/>
    <w:rsid w:val="FEEB1891"/>
    <w:rsid w:val="FEEF20CA"/>
    <w:rsid w:val="FEEF2C6E"/>
    <w:rsid w:val="FEEFAD97"/>
    <w:rsid w:val="FEF0F914"/>
    <w:rsid w:val="FEF293E9"/>
    <w:rsid w:val="FEF5F0E3"/>
    <w:rsid w:val="FEF7AC63"/>
    <w:rsid w:val="FEF9FE10"/>
    <w:rsid w:val="FEFB0EB6"/>
    <w:rsid w:val="FEFBFC7D"/>
    <w:rsid w:val="FEFD1054"/>
    <w:rsid w:val="FEFD3ABF"/>
    <w:rsid w:val="FEFD5CC1"/>
    <w:rsid w:val="FEFD756B"/>
    <w:rsid w:val="FEFD9B15"/>
    <w:rsid w:val="FEFDA40D"/>
    <w:rsid w:val="FEFF2EB9"/>
    <w:rsid w:val="FEFF6EDA"/>
    <w:rsid w:val="FEFF724F"/>
    <w:rsid w:val="FF15391D"/>
    <w:rsid w:val="FF163127"/>
    <w:rsid w:val="FF233AAB"/>
    <w:rsid w:val="FF262FCF"/>
    <w:rsid w:val="FF2A5BDF"/>
    <w:rsid w:val="FF2F1C43"/>
    <w:rsid w:val="FF3845B5"/>
    <w:rsid w:val="FF3A781E"/>
    <w:rsid w:val="FF3DB975"/>
    <w:rsid w:val="FF447772"/>
    <w:rsid w:val="FF4A3BF5"/>
    <w:rsid w:val="FF4F3B8A"/>
    <w:rsid w:val="FF4FA3DF"/>
    <w:rsid w:val="FF5CE4ED"/>
    <w:rsid w:val="FF5E65C2"/>
    <w:rsid w:val="FF63B94E"/>
    <w:rsid w:val="FF6A5A14"/>
    <w:rsid w:val="FF6D25C8"/>
    <w:rsid w:val="FF6F26CE"/>
    <w:rsid w:val="FF6FB45E"/>
    <w:rsid w:val="FF6FCE24"/>
    <w:rsid w:val="FF76B32A"/>
    <w:rsid w:val="FF7750A5"/>
    <w:rsid w:val="FF791E98"/>
    <w:rsid w:val="FF7992F8"/>
    <w:rsid w:val="FF7CA2B4"/>
    <w:rsid w:val="FF7EC504"/>
    <w:rsid w:val="FF7F0904"/>
    <w:rsid w:val="FF7F17D8"/>
    <w:rsid w:val="FF7F2655"/>
    <w:rsid w:val="FF7F65B3"/>
    <w:rsid w:val="FF7F6B7D"/>
    <w:rsid w:val="FF7F7949"/>
    <w:rsid w:val="FF7FF3DA"/>
    <w:rsid w:val="FF8EAF5B"/>
    <w:rsid w:val="FF941998"/>
    <w:rsid w:val="FF9C39D9"/>
    <w:rsid w:val="FF9CC129"/>
    <w:rsid w:val="FF9E494E"/>
    <w:rsid w:val="FFA3AC50"/>
    <w:rsid w:val="FFA7C7DA"/>
    <w:rsid w:val="FFAA0E39"/>
    <w:rsid w:val="FFAB2BC8"/>
    <w:rsid w:val="FFAD5C4C"/>
    <w:rsid w:val="FFAF4720"/>
    <w:rsid w:val="FFAFE636"/>
    <w:rsid w:val="FFAFEA4A"/>
    <w:rsid w:val="FFB14BEA"/>
    <w:rsid w:val="FFB6B71D"/>
    <w:rsid w:val="FFB71477"/>
    <w:rsid w:val="FFB772B5"/>
    <w:rsid w:val="FFBB2D7E"/>
    <w:rsid w:val="FFBD576C"/>
    <w:rsid w:val="FFBD629E"/>
    <w:rsid w:val="FFBE745A"/>
    <w:rsid w:val="FFBE8302"/>
    <w:rsid w:val="FFBEB63E"/>
    <w:rsid w:val="FFBF30CD"/>
    <w:rsid w:val="FFBFA9AD"/>
    <w:rsid w:val="FFBFC9CE"/>
    <w:rsid w:val="FFCE1193"/>
    <w:rsid w:val="FFCE1325"/>
    <w:rsid w:val="FFCF1233"/>
    <w:rsid w:val="FFD3C95B"/>
    <w:rsid w:val="FFD3F8F8"/>
    <w:rsid w:val="FFD72CC0"/>
    <w:rsid w:val="FFD7F7B1"/>
    <w:rsid w:val="FFD9D2C6"/>
    <w:rsid w:val="FFDB274F"/>
    <w:rsid w:val="FFDB575E"/>
    <w:rsid w:val="FFDCF324"/>
    <w:rsid w:val="FFDD5B29"/>
    <w:rsid w:val="FFDDE103"/>
    <w:rsid w:val="FFDE0824"/>
    <w:rsid w:val="FFDE51B9"/>
    <w:rsid w:val="FFDF1183"/>
    <w:rsid w:val="FFDF4CEB"/>
    <w:rsid w:val="FFDF852B"/>
    <w:rsid w:val="FFDF9740"/>
    <w:rsid w:val="FFDFAAB6"/>
    <w:rsid w:val="FFDFEC9C"/>
    <w:rsid w:val="FFE796EE"/>
    <w:rsid w:val="FFEB312D"/>
    <w:rsid w:val="FFEB477E"/>
    <w:rsid w:val="FFEC0E11"/>
    <w:rsid w:val="FFEC1977"/>
    <w:rsid w:val="FFEEFBFE"/>
    <w:rsid w:val="FFEF93FD"/>
    <w:rsid w:val="FFEFA86D"/>
    <w:rsid w:val="FFEFF158"/>
    <w:rsid w:val="FFF3CB5F"/>
    <w:rsid w:val="FFF4D620"/>
    <w:rsid w:val="FFF50CAA"/>
    <w:rsid w:val="FFF51784"/>
    <w:rsid w:val="FFF67CA0"/>
    <w:rsid w:val="FFF67E87"/>
    <w:rsid w:val="FFF71275"/>
    <w:rsid w:val="FFF7133B"/>
    <w:rsid w:val="FFF7573B"/>
    <w:rsid w:val="FFF7898A"/>
    <w:rsid w:val="FFF78EDA"/>
    <w:rsid w:val="FFF865F9"/>
    <w:rsid w:val="FFFA27D8"/>
    <w:rsid w:val="FFFB2D04"/>
    <w:rsid w:val="FFFB39FF"/>
    <w:rsid w:val="FFFB5527"/>
    <w:rsid w:val="FFFB8310"/>
    <w:rsid w:val="FFFCEB20"/>
    <w:rsid w:val="FFFD1187"/>
    <w:rsid w:val="FFFD3B7E"/>
    <w:rsid w:val="FFFD50D7"/>
    <w:rsid w:val="FFFDDC14"/>
    <w:rsid w:val="FFFE31F1"/>
    <w:rsid w:val="FFFEC964"/>
    <w:rsid w:val="FFFF0171"/>
    <w:rsid w:val="FFFF0557"/>
    <w:rsid w:val="FFFF106A"/>
    <w:rsid w:val="FFFF3A3D"/>
    <w:rsid w:val="FFFF4C57"/>
    <w:rsid w:val="FFFF5C69"/>
    <w:rsid w:val="FFFF5E19"/>
    <w:rsid w:val="FFFF655A"/>
    <w:rsid w:val="FFFF7ADE"/>
    <w:rsid w:val="FFFF7EA6"/>
    <w:rsid w:val="FFFF8CB2"/>
    <w:rsid w:val="FFFF9756"/>
    <w:rsid w:val="FFFF9E12"/>
    <w:rsid w:val="FFFFA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1120" w:firstLineChars="200"/>
      <w:jc w:val="both"/>
    </w:pPr>
    <w:rPr>
      <w:rFonts w:ascii="Times New Roman" w:hAnsi="Times New Roman" w:eastAsia="FangSong_GB2312" w:cstheme="minorBidi"/>
      <w:kern w:val="2"/>
      <w:sz w:val="32"/>
      <w:szCs w:val="22"/>
      <w:lang w:val="en-US" w:eastAsia="zh-CN" w:bidi="ar-SA"/>
    </w:rPr>
  </w:style>
  <w:style w:type="paragraph" w:styleId="4">
    <w:name w:val="heading 1"/>
    <w:basedOn w:val="1"/>
    <w:next w:val="1"/>
    <w:link w:val="32"/>
    <w:qFormat/>
    <w:uiPriority w:val="0"/>
    <w:pPr>
      <w:widowControl/>
      <w:ind w:firstLine="0" w:firstLineChars="0"/>
      <w:outlineLvl w:val="0"/>
    </w:pPr>
    <w:rPr>
      <w:rFonts w:ascii="宋体" w:hAnsi="宋体" w:eastAsia="黑体" w:cs="宋体"/>
      <w:bCs/>
      <w:kern w:val="36"/>
      <w:szCs w:val="48"/>
    </w:rPr>
  </w:style>
  <w:style w:type="paragraph" w:styleId="5">
    <w:name w:val="heading 2"/>
    <w:basedOn w:val="1"/>
    <w:next w:val="1"/>
    <w:link w:val="29"/>
    <w:unhideWhenUsed/>
    <w:qFormat/>
    <w:uiPriority w:val="0"/>
    <w:pPr>
      <w:keepNext/>
      <w:keepLines/>
      <w:outlineLvl w:val="1"/>
    </w:pPr>
    <w:rPr>
      <w:rFonts w:ascii="DejaVu Sans" w:hAnsi="DejaVu Sans" w:eastAsia="楷体_GB2312"/>
    </w:rPr>
  </w:style>
  <w:style w:type="paragraph" w:styleId="6">
    <w:name w:val="heading 3"/>
    <w:basedOn w:val="1"/>
    <w:next w:val="1"/>
    <w:link w:val="33"/>
    <w:unhideWhenUsed/>
    <w:qFormat/>
    <w:uiPriority w:val="0"/>
    <w:pPr>
      <w:keepNext/>
      <w:keepLines/>
      <w:outlineLvl w:val="2"/>
    </w:pPr>
  </w:style>
  <w:style w:type="paragraph" w:styleId="7">
    <w:name w:val="heading 4"/>
    <w:basedOn w:val="1"/>
    <w:next w:val="1"/>
    <w:link w:val="40"/>
    <w:unhideWhenUsed/>
    <w:qFormat/>
    <w:uiPriority w:val="0"/>
    <w:pPr>
      <w:keepNext/>
      <w:keepLines/>
      <w:ind w:firstLine="640"/>
      <w:outlineLvl w:val="3"/>
    </w:pPr>
    <w:rPr>
      <w:rFonts w:ascii="宋体" w:hAnsi="宋体" w:eastAsia="FZFangSong-Z02" w:cs="宋体"/>
      <w:snapToGrid w:val="0"/>
      <w:color w:val="000000"/>
      <w:kern w:val="0"/>
      <w:szCs w:val="32"/>
      <w:lang w:eastAsia="en-US" w:bidi="en-US"/>
    </w:rPr>
  </w:style>
  <w:style w:type="paragraph" w:styleId="8">
    <w:name w:val="heading 5"/>
    <w:basedOn w:val="1"/>
    <w:next w:val="1"/>
    <w:semiHidden/>
    <w:unhideWhenUsed/>
    <w:qFormat/>
    <w:uiPriority w:val="0"/>
    <w:pPr>
      <w:keepNext/>
      <w:keepLines/>
      <w:numPr>
        <w:ilvl w:val="4"/>
        <w:numId w:val="1"/>
      </w:numPr>
      <w:tabs>
        <w:tab w:val="left" w:pos="992"/>
      </w:tabs>
      <w:spacing w:line="240" w:lineRule="auto"/>
      <w:ind w:firstLine="0" w:firstLineChars="0"/>
      <w:outlineLvl w:val="4"/>
    </w:pPr>
    <w:rPr>
      <w:rFonts w:eastAsia="宋体" w:cs="Times New Roman"/>
      <w:b/>
      <w:color w:val="000000"/>
      <w:sz w:val="24"/>
      <w:szCs w:val="24"/>
      <w:lang w:eastAsia="en-US" w:bidi="en-US"/>
    </w:rPr>
  </w:style>
  <w:style w:type="paragraph" w:styleId="9">
    <w:name w:val="heading 6"/>
    <w:basedOn w:val="1"/>
    <w:next w:val="1"/>
    <w:semiHidden/>
    <w:unhideWhenUsed/>
    <w:qFormat/>
    <w:uiPriority w:val="0"/>
    <w:pPr>
      <w:keepNext/>
      <w:keepLines/>
      <w:numPr>
        <w:ilvl w:val="5"/>
        <w:numId w:val="1"/>
      </w:numPr>
      <w:tabs>
        <w:tab w:val="left" w:pos="1134"/>
      </w:tabs>
      <w:spacing w:before="240" w:after="64" w:line="317" w:lineRule="auto"/>
      <w:ind w:firstLine="0" w:firstLineChars="0"/>
      <w:outlineLvl w:val="5"/>
    </w:pPr>
    <w:rPr>
      <w:rFonts w:ascii="Arial" w:hAnsi="Arial" w:eastAsia="黑体"/>
      <w:b/>
      <w:sz w:val="24"/>
    </w:rPr>
  </w:style>
  <w:style w:type="paragraph" w:styleId="10">
    <w:name w:val="heading 7"/>
    <w:basedOn w:val="1"/>
    <w:next w:val="1"/>
    <w:semiHidden/>
    <w:unhideWhenUsed/>
    <w:qFormat/>
    <w:uiPriority w:val="0"/>
    <w:pPr>
      <w:keepNext/>
      <w:keepLines/>
      <w:numPr>
        <w:ilvl w:val="6"/>
        <w:numId w:val="1"/>
      </w:numPr>
      <w:tabs>
        <w:tab w:val="left" w:pos="1276"/>
      </w:tabs>
      <w:spacing w:before="240" w:after="64" w:line="317" w:lineRule="auto"/>
      <w:ind w:firstLine="0" w:firstLineChars="0"/>
      <w:outlineLvl w:val="6"/>
    </w:pPr>
    <w:rPr>
      <w:b/>
      <w:sz w:val="24"/>
    </w:rPr>
  </w:style>
  <w:style w:type="paragraph" w:styleId="11">
    <w:name w:val="heading 8"/>
    <w:basedOn w:val="1"/>
    <w:next w:val="1"/>
    <w:semiHidden/>
    <w:unhideWhenUsed/>
    <w:qFormat/>
    <w:uiPriority w:val="0"/>
    <w:pPr>
      <w:keepNext/>
      <w:keepLines/>
      <w:numPr>
        <w:ilvl w:val="7"/>
        <w:numId w:val="1"/>
      </w:numPr>
      <w:spacing w:before="240" w:after="64" w:line="317" w:lineRule="auto"/>
      <w:ind w:firstLine="0" w:firstLineChars="0"/>
      <w:outlineLvl w:val="7"/>
    </w:pPr>
    <w:rPr>
      <w:rFonts w:ascii="Arial" w:hAnsi="Arial" w:eastAsia="黑体"/>
      <w:sz w:val="24"/>
    </w:rPr>
  </w:style>
  <w:style w:type="paragraph" w:styleId="12">
    <w:name w:val="heading 9"/>
    <w:basedOn w:val="1"/>
    <w:next w:val="1"/>
    <w:semiHidden/>
    <w:unhideWhenUsed/>
    <w:qFormat/>
    <w:uiPriority w:val="0"/>
    <w:pPr>
      <w:keepNext/>
      <w:keepLines/>
      <w:numPr>
        <w:ilvl w:val="8"/>
        <w:numId w:val="1"/>
      </w:numPr>
      <w:spacing w:before="240" w:after="64" w:line="317" w:lineRule="auto"/>
      <w:ind w:firstLine="0" w:firstLineChars="0"/>
      <w:outlineLvl w:val="8"/>
    </w:pPr>
    <w:rPr>
      <w:rFonts w:ascii="Arial" w:hAnsi="Arial" w:eastAsia="黑体"/>
      <w:sz w:val="21"/>
    </w:rPr>
  </w:style>
  <w:style w:type="character" w:default="1" w:styleId="25">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ind w:firstLine="880"/>
    </w:pPr>
    <w:rPr>
      <w:rFonts w:ascii="Calibri" w:hAnsi="Calibri"/>
    </w:rPr>
  </w:style>
  <w:style w:type="paragraph" w:styleId="3">
    <w:name w:val="Title"/>
    <w:basedOn w:val="1"/>
    <w:qFormat/>
    <w:uiPriority w:val="0"/>
    <w:pPr>
      <w:spacing w:before="240" w:after="60"/>
      <w:jc w:val="center"/>
      <w:outlineLvl w:val="0"/>
    </w:pPr>
    <w:rPr>
      <w:rFonts w:ascii="Arial" w:hAnsi="Arial"/>
      <w:b/>
    </w:rPr>
  </w:style>
  <w:style w:type="paragraph" w:styleId="13">
    <w:name w:val="index 8"/>
    <w:basedOn w:val="1"/>
    <w:next w:val="1"/>
    <w:qFormat/>
    <w:uiPriority w:val="0"/>
    <w:pPr>
      <w:jc w:val="center"/>
    </w:pPr>
  </w:style>
  <w:style w:type="paragraph" w:styleId="14">
    <w:name w:val="caption"/>
    <w:basedOn w:val="1"/>
    <w:next w:val="1"/>
    <w:unhideWhenUsed/>
    <w:qFormat/>
    <w:uiPriority w:val="0"/>
    <w:rPr>
      <w:rFonts w:ascii="Arial" w:hAnsi="Arial" w:eastAsia="黑体"/>
      <w:sz w:val="20"/>
    </w:rPr>
  </w:style>
  <w:style w:type="paragraph" w:styleId="15">
    <w:name w:val="annotation text"/>
    <w:basedOn w:val="1"/>
    <w:link w:val="46"/>
    <w:qFormat/>
    <w:uiPriority w:val="0"/>
    <w:pPr>
      <w:jc w:val="left"/>
    </w:pPr>
  </w:style>
  <w:style w:type="paragraph" w:styleId="16">
    <w:name w:val="Body Text Indent"/>
    <w:basedOn w:val="1"/>
    <w:qFormat/>
    <w:uiPriority w:val="0"/>
    <w:pPr>
      <w:spacing w:after="120"/>
      <w:ind w:left="420" w:leftChars="200"/>
    </w:pPr>
  </w:style>
  <w:style w:type="paragraph" w:styleId="17">
    <w:name w:val="footer"/>
    <w:basedOn w:val="1"/>
    <w:qFormat/>
    <w:uiPriority w:val="99"/>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unhideWhenUsed/>
    <w:qFormat/>
    <w:uiPriority w:val="39"/>
  </w:style>
  <w:style w:type="paragraph" w:styleId="20">
    <w:name w:val="toc 2"/>
    <w:basedOn w:val="1"/>
    <w:next w:val="1"/>
    <w:unhideWhenUsed/>
    <w:qFormat/>
    <w:uiPriority w:val="39"/>
    <w:pPr>
      <w:ind w:left="420" w:leftChars="200"/>
    </w:pPr>
  </w:style>
  <w:style w:type="paragraph" w:styleId="21">
    <w:name w:val="Normal (Web)"/>
    <w:basedOn w:val="1"/>
    <w:next w:val="1"/>
    <w:qFormat/>
    <w:uiPriority w:val="0"/>
    <w:pPr>
      <w:widowControl/>
      <w:ind w:firstLine="720"/>
      <w:jc w:val="left"/>
    </w:pPr>
    <w:rPr>
      <w:rFonts w:ascii="宋体" w:hAnsi="宋体" w:eastAsia="FZFangSong-Z02S" w:cs="宋体"/>
      <w:kern w:val="0"/>
      <w:szCs w:val="24"/>
    </w:rPr>
  </w:style>
  <w:style w:type="paragraph" w:styleId="22">
    <w:name w:val="annotation subject"/>
    <w:basedOn w:val="15"/>
    <w:next w:val="15"/>
    <w:link w:val="47"/>
    <w:qFormat/>
    <w:uiPriority w:val="0"/>
    <w:rPr>
      <w:b/>
      <w:bCs/>
    </w:rPr>
  </w:style>
  <w:style w:type="paragraph" w:styleId="23">
    <w:name w:val="Body Text First Indent 2"/>
    <w:basedOn w:val="16"/>
    <w:next w:val="1"/>
    <w:qFormat/>
    <w:uiPriority w:val="0"/>
    <w:pPr>
      <w:ind w:firstLine="420"/>
    </w:pPr>
  </w:style>
  <w:style w:type="character" w:styleId="26">
    <w:name w:val="Strong"/>
    <w:basedOn w:val="25"/>
    <w:qFormat/>
    <w:uiPriority w:val="0"/>
    <w:rPr>
      <w:b/>
    </w:rPr>
  </w:style>
  <w:style w:type="character" w:styleId="27">
    <w:name w:val="Emphasis"/>
    <w:basedOn w:val="25"/>
    <w:qFormat/>
    <w:uiPriority w:val="0"/>
    <w:rPr>
      <w:i/>
    </w:rPr>
  </w:style>
  <w:style w:type="character" w:styleId="28">
    <w:name w:val="annotation reference"/>
    <w:basedOn w:val="25"/>
    <w:qFormat/>
    <w:uiPriority w:val="0"/>
    <w:rPr>
      <w:sz w:val="21"/>
      <w:szCs w:val="21"/>
    </w:rPr>
  </w:style>
  <w:style w:type="character" w:customStyle="1" w:styleId="29">
    <w:name w:val="标题 2 字符"/>
    <w:basedOn w:val="25"/>
    <w:link w:val="5"/>
    <w:qFormat/>
    <w:uiPriority w:val="99"/>
    <w:rPr>
      <w:rFonts w:eastAsia="楷体_GB2312" w:asciiTheme="majorHAnsi" w:hAnsiTheme="majorHAnsi" w:cstheme="minorBidi"/>
      <w:bCs/>
      <w:sz w:val="32"/>
      <w:szCs w:val="22"/>
    </w:rPr>
  </w:style>
  <w:style w:type="paragraph" w:customStyle="1" w:styleId="30">
    <w:name w:val="标题4"/>
    <w:basedOn w:val="7"/>
    <w:next w:val="1"/>
    <w:qFormat/>
    <w:uiPriority w:val="0"/>
    <w:pPr>
      <w:tabs>
        <w:tab w:val="left" w:pos="420"/>
      </w:tabs>
      <w:ind w:firstLine="720"/>
    </w:pPr>
    <w:rPr>
      <w:rFonts w:ascii="Times New Roman" w:hAnsi="Times New Roman" w:eastAsia="仿宋_GB2312" w:cs="Times New Roman"/>
    </w:rPr>
  </w:style>
  <w:style w:type="paragraph" w:customStyle="1" w:styleId="31">
    <w:name w:val="标题44"/>
    <w:basedOn w:val="7"/>
    <w:next w:val="1"/>
    <w:qFormat/>
    <w:uiPriority w:val="0"/>
    <w:pPr>
      <w:tabs>
        <w:tab w:val="left" w:pos="420"/>
      </w:tabs>
      <w:ind w:firstLine="880"/>
    </w:pPr>
    <w:rPr>
      <w:rFonts w:eastAsia="仿宋_GB2312"/>
    </w:rPr>
  </w:style>
  <w:style w:type="character" w:customStyle="1" w:styleId="32">
    <w:name w:val="标题 1 字符"/>
    <w:basedOn w:val="25"/>
    <w:link w:val="4"/>
    <w:qFormat/>
    <w:uiPriority w:val="9"/>
    <w:rPr>
      <w:rFonts w:ascii="宋体" w:hAnsi="宋体" w:eastAsia="黑体" w:cs="宋体"/>
      <w:bCs/>
      <w:kern w:val="36"/>
      <w:sz w:val="32"/>
      <w:szCs w:val="48"/>
    </w:rPr>
  </w:style>
  <w:style w:type="character" w:customStyle="1" w:styleId="33">
    <w:name w:val="标题 3 字符"/>
    <w:link w:val="6"/>
    <w:qFormat/>
    <w:uiPriority w:val="0"/>
    <w:rPr>
      <w:rFonts w:eastAsia="仿宋_GB2312" w:asciiTheme="minorHAnsi" w:hAnsiTheme="minorHAnsi" w:cstheme="minorBidi"/>
      <w:sz w:val="32"/>
      <w:szCs w:val="22"/>
    </w:rPr>
  </w:style>
  <w:style w:type="paragraph" w:customStyle="1" w:styleId="34">
    <w:name w:val="text 1"/>
    <w:basedOn w:val="1"/>
    <w:next w:val="1"/>
    <w:link w:val="35"/>
    <w:qFormat/>
    <w:uiPriority w:val="0"/>
    <w:pPr>
      <w:spacing w:line="360" w:lineRule="auto"/>
      <w:ind w:firstLine="2080"/>
    </w:pPr>
    <w:rPr>
      <w:rFonts w:ascii="宋体" w:hAnsi="宋体" w:eastAsia="宋体" w:cs="宋体"/>
      <w:color w:val="000000"/>
      <w:sz w:val="20"/>
      <w:lang w:val="zh-TW" w:eastAsia="zh-TW" w:bidi="zh-TW"/>
    </w:rPr>
  </w:style>
  <w:style w:type="character" w:customStyle="1" w:styleId="35">
    <w:name w:val="Body text|1_"/>
    <w:basedOn w:val="25"/>
    <w:link w:val="34"/>
    <w:qFormat/>
    <w:uiPriority w:val="0"/>
    <w:rPr>
      <w:rFonts w:ascii="宋体" w:hAnsi="宋体" w:eastAsia="宋体" w:cs="宋体"/>
      <w:color w:val="000000"/>
      <w:sz w:val="20"/>
      <w:szCs w:val="22"/>
      <w:u w:val="none"/>
      <w:shd w:val="clear" w:color="auto" w:fill="auto"/>
      <w:lang w:val="zh-TW" w:eastAsia="zh-TW" w:bidi="zh-TW"/>
    </w:rPr>
  </w:style>
  <w:style w:type="paragraph" w:customStyle="1" w:styleId="36">
    <w:name w:val="Heading #4|1"/>
    <w:basedOn w:val="5"/>
    <w:next w:val="1"/>
    <w:link w:val="37"/>
    <w:qFormat/>
    <w:uiPriority w:val="0"/>
    <w:pPr>
      <w:tabs>
        <w:tab w:val="left" w:pos="0"/>
        <w:tab w:val="left" w:pos="425"/>
      </w:tabs>
      <w:jc w:val="left"/>
    </w:pPr>
    <w:rPr>
      <w:rFonts w:ascii="宋体" w:hAnsi="宋体" w:eastAsia="楷体" w:cs="宋体"/>
      <w:szCs w:val="24"/>
      <w:lang w:val="zh-TW" w:eastAsia="zh-TW" w:bidi="zh-TW"/>
    </w:rPr>
  </w:style>
  <w:style w:type="character" w:customStyle="1" w:styleId="37">
    <w:name w:val="Heading #4|1_"/>
    <w:basedOn w:val="25"/>
    <w:link w:val="36"/>
    <w:qFormat/>
    <w:uiPriority w:val="0"/>
    <w:rPr>
      <w:rFonts w:ascii="宋体" w:hAnsi="宋体" w:eastAsia="楷体" w:cs="宋体"/>
      <w:szCs w:val="24"/>
      <w:u w:val="none"/>
      <w:shd w:val="clear" w:color="auto" w:fill="auto"/>
      <w:lang w:val="zh-TW" w:eastAsia="zh-TW" w:bidi="zh-TW"/>
    </w:rPr>
  </w:style>
  <w:style w:type="paragraph" w:customStyle="1" w:styleId="38">
    <w:name w:val="图头"/>
    <w:basedOn w:val="1"/>
    <w:link w:val="39"/>
    <w:qFormat/>
    <w:uiPriority w:val="0"/>
    <w:pPr>
      <w:numPr>
        <w:ilvl w:val="0"/>
        <w:numId w:val="2"/>
      </w:numPr>
      <w:tabs>
        <w:tab w:val="left" w:pos="363"/>
      </w:tabs>
      <w:spacing w:line="240" w:lineRule="auto"/>
    </w:pPr>
    <w:rPr>
      <w:rFonts w:hint="eastAsia" w:ascii="Arial" w:hAnsi="Arial" w:eastAsia="黑体" w:cs="Arial"/>
      <w:sz w:val="24"/>
      <w:szCs w:val="24"/>
    </w:rPr>
  </w:style>
  <w:style w:type="character" w:customStyle="1" w:styleId="39">
    <w:name w:val="图头 Char"/>
    <w:link w:val="38"/>
    <w:qFormat/>
    <w:uiPriority w:val="0"/>
    <w:rPr>
      <w:rFonts w:ascii="Arial" w:hAnsi="Arial" w:eastAsia="黑体" w:cs="Arial"/>
      <w:sz w:val="24"/>
      <w:szCs w:val="24"/>
    </w:rPr>
  </w:style>
  <w:style w:type="character" w:customStyle="1" w:styleId="40">
    <w:name w:val="标题 4 字符"/>
    <w:link w:val="7"/>
    <w:qFormat/>
    <w:uiPriority w:val="0"/>
    <w:rPr>
      <w:rFonts w:ascii="Times New Roman Bold" w:hAnsi="Times New Roman Bold" w:eastAsia="FZFangSong-Z02" w:cs="Times New Roman"/>
      <w:snapToGrid w:val="0"/>
      <w:color w:val="000000"/>
      <w:kern w:val="0"/>
      <w:sz w:val="32"/>
      <w:szCs w:val="24"/>
      <w:shd w:val="clear" w:color="auto" w:fill="auto"/>
      <w:lang w:eastAsia="en-US" w:bidi="en-US"/>
    </w:rPr>
  </w:style>
  <w:style w:type="paragraph" w:customStyle="1" w:styleId="41">
    <w:name w:val="修订1"/>
    <w:hidden/>
    <w:unhideWhenUsed/>
    <w:qFormat/>
    <w:uiPriority w:val="99"/>
    <w:rPr>
      <w:rFonts w:eastAsia="仿宋_GB2312" w:asciiTheme="minorHAnsi" w:hAnsiTheme="minorHAnsi" w:cstheme="minorBidi"/>
      <w:kern w:val="2"/>
      <w:sz w:val="32"/>
      <w:szCs w:val="22"/>
      <w:lang w:val="en-US" w:eastAsia="zh-CN" w:bidi="ar-SA"/>
    </w:rPr>
  </w:style>
  <w:style w:type="paragraph" w:customStyle="1" w:styleId="42">
    <w:name w:val="修订2"/>
    <w:hidden/>
    <w:unhideWhenUsed/>
    <w:qFormat/>
    <w:uiPriority w:val="99"/>
    <w:rPr>
      <w:rFonts w:eastAsia="仿宋_GB2312" w:asciiTheme="minorHAnsi" w:hAnsiTheme="minorHAnsi" w:cstheme="minorBidi"/>
      <w:kern w:val="2"/>
      <w:sz w:val="32"/>
      <w:szCs w:val="22"/>
      <w:lang w:val="en-US" w:eastAsia="zh-CN" w:bidi="ar-SA"/>
    </w:rPr>
  </w:style>
  <w:style w:type="paragraph" w:customStyle="1" w:styleId="43">
    <w:name w:val="WPSOffice手动目录 1"/>
    <w:qFormat/>
    <w:uiPriority w:val="0"/>
    <w:rPr>
      <w:rFonts w:ascii="Times New Roman" w:hAnsi="Times New Roman" w:eastAsia="宋体" w:cs="Times New Roman"/>
      <w:lang w:val="en-US" w:eastAsia="zh-CN" w:bidi="ar-SA"/>
    </w:rPr>
  </w:style>
  <w:style w:type="paragraph" w:customStyle="1" w:styleId="44">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5">
    <w:name w:val="Revision"/>
    <w:hidden/>
    <w:unhideWhenUsed/>
    <w:qFormat/>
    <w:uiPriority w:val="99"/>
    <w:rPr>
      <w:rFonts w:ascii="Times New Roman" w:hAnsi="Times New Roman" w:eastAsia="仿宋_GB2312" w:cstheme="minorBidi"/>
      <w:kern w:val="2"/>
      <w:sz w:val="32"/>
      <w:szCs w:val="22"/>
      <w:lang w:val="en-US" w:eastAsia="zh-CN" w:bidi="ar-SA"/>
    </w:rPr>
  </w:style>
  <w:style w:type="character" w:customStyle="1" w:styleId="46">
    <w:name w:val="批注文字 字符"/>
    <w:basedOn w:val="25"/>
    <w:link w:val="15"/>
    <w:qFormat/>
    <w:uiPriority w:val="0"/>
    <w:rPr>
      <w:rFonts w:eastAsia="仿宋_GB2312" w:cstheme="minorBidi"/>
      <w:kern w:val="2"/>
      <w:sz w:val="32"/>
      <w:szCs w:val="22"/>
    </w:rPr>
  </w:style>
  <w:style w:type="character" w:customStyle="1" w:styleId="47">
    <w:name w:val="批注主题 字符"/>
    <w:basedOn w:val="46"/>
    <w:link w:val="22"/>
    <w:qFormat/>
    <w:uiPriority w:val="0"/>
    <w:rPr>
      <w:rFonts w:eastAsia="仿宋_GB2312" w:cstheme="minorBidi"/>
      <w:b/>
      <w:bCs/>
      <w:kern w:val="2"/>
      <w:sz w:val="32"/>
      <w:szCs w:val="22"/>
    </w:rPr>
  </w:style>
  <w:style w:type="paragraph" w:customStyle="1" w:styleId="48">
    <w:name w:val="p1"/>
    <w:basedOn w:val="1"/>
    <w:qFormat/>
    <w:uiPriority w:val="0"/>
    <w:pPr>
      <w:spacing w:before="0" w:beforeAutospacing="0" w:after="0" w:afterAutospacing="0"/>
      <w:ind w:left="0" w:right="0"/>
      <w:jc w:val="left"/>
    </w:pPr>
    <w:rPr>
      <w:rFonts w:ascii="PingFang SC" w:hAnsi="PingFang SC" w:eastAsia="PingFang SC" w:cs="PingFang SC"/>
      <w:color w:val="000000"/>
      <w:kern w:val="0"/>
      <w:sz w:val="28"/>
      <w:szCs w:val="28"/>
      <w:lang w:val="en-US" w:eastAsia="zh-CN" w:bidi="ar"/>
    </w:rPr>
  </w:style>
  <w:style w:type="character" w:customStyle="1" w:styleId="49">
    <w:name w:val="s1"/>
    <w:basedOn w:val="25"/>
    <w:qFormat/>
    <w:uiPriority w:val="0"/>
    <w:rPr>
      <w:rFonts w:ascii="Helvetica Neue" w:hAnsi="Helvetica Neue" w:eastAsia="Helvetica Neue" w:cs="Helvetica Neue"/>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5720</Words>
  <Characters>32609</Characters>
  <Lines>271</Lines>
  <Paragraphs>76</Paragraphs>
  <TotalTime>40</TotalTime>
  <ScaleCrop>false</ScaleCrop>
  <LinksUpToDate>false</LinksUpToDate>
  <CharactersWithSpaces>38253</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2023-07-03T18:31:00Z</dcterms:created>
  <dc:creator>姣姣</dc:creator>
  <cp:lastModifiedBy>姣姣</cp:lastModifiedBy>
  <dcterms:modified xsi:type="dcterms:W3CDTF">2024-01-15T11:47:00Z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F703477A2291DEDDFD889F653A9180D8_43</vt:lpwstr>
  </property>
</Properties>
</file>