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126CD" w14:textId="77777777" w:rsidR="00A30852" w:rsidRDefault="00A30852">
      <w:pPr>
        <w:ind w:firstLineChars="0" w:firstLine="0"/>
        <w:jc w:val="center"/>
        <w:rPr>
          <w:rFonts w:eastAsia="方正小标宋简体"/>
          <w:sz w:val="44"/>
          <w:szCs w:val="44"/>
        </w:rPr>
      </w:pPr>
    </w:p>
    <w:p w14:paraId="2CD9CA8F" w14:textId="7EF1AEF0" w:rsidR="00860BE4" w:rsidRDefault="00000000">
      <w:pPr>
        <w:ind w:firstLineChars="0" w:firstLine="0"/>
        <w:jc w:val="center"/>
        <w:rPr>
          <w:rFonts w:eastAsia="方正小标宋简体"/>
          <w:sz w:val="44"/>
          <w:szCs w:val="44"/>
        </w:rPr>
      </w:pPr>
      <w:r>
        <w:rPr>
          <w:rFonts w:eastAsia="方正小标宋简体" w:hint="eastAsia"/>
          <w:sz w:val="44"/>
          <w:szCs w:val="44"/>
        </w:rPr>
        <w:t>郑州市关于推进数据产品登记工作的指导意见</w:t>
      </w:r>
    </w:p>
    <w:p w14:paraId="3A3CA824" w14:textId="77777777" w:rsidR="00860BE4" w:rsidRDefault="00000000">
      <w:pPr>
        <w:pStyle w:val="a0"/>
        <w:ind w:firstLineChars="0" w:firstLine="0"/>
        <w:jc w:val="center"/>
        <w:rPr>
          <w:rFonts w:ascii="楷体_GB2312" w:eastAsia="楷体_GB2312" w:hAnsi="楷体_GB2312" w:cs="楷体_GB2312"/>
        </w:rPr>
      </w:pPr>
      <w:r>
        <w:rPr>
          <w:rFonts w:ascii="楷体_GB2312" w:eastAsia="楷体_GB2312" w:hAnsi="楷体_GB2312" w:cs="楷体_GB2312" w:hint="eastAsia"/>
          <w:sz w:val="36"/>
          <w:szCs w:val="36"/>
        </w:rPr>
        <w:t>（征求意见稿）</w:t>
      </w:r>
    </w:p>
    <w:p w14:paraId="440B3EE6" w14:textId="77777777" w:rsidR="00860BE4" w:rsidRDefault="00860BE4">
      <w:pPr>
        <w:ind w:firstLine="640"/>
        <w:rPr>
          <w:rFonts w:ascii="仿宋_GB2312"/>
          <w:szCs w:val="36"/>
        </w:rPr>
      </w:pPr>
    </w:p>
    <w:p w14:paraId="7E78E4E1" w14:textId="77777777" w:rsidR="00860BE4" w:rsidRDefault="00000000">
      <w:pPr>
        <w:pStyle w:val="20"/>
        <w:spacing w:after="0"/>
        <w:ind w:firstLine="640"/>
        <w:rPr>
          <w:shd w:val="clear" w:color="auto" w:fill="FFFFFF"/>
        </w:rPr>
      </w:pPr>
      <w:r>
        <w:rPr>
          <w:rFonts w:ascii="仿宋_GB2312" w:hint="eastAsia"/>
          <w:szCs w:val="36"/>
        </w:rPr>
        <w:t>随着郑州市数据要素市场化配置改革的深入推进，数据交易体系逐步健全、交易规模逐步扩大，为促进数据产品登记，支撑交易活动规范开展，根据</w:t>
      </w:r>
      <w:r>
        <w:rPr>
          <w:rFonts w:cs="Times New Roman" w:hint="eastAsia"/>
          <w:szCs w:val="32"/>
        </w:rPr>
        <w:t>《中华人民共和国民法典》《中华人民共和国数据安全法》《中华人民共和国网络安全法》</w:t>
      </w:r>
      <w:r>
        <w:rPr>
          <w:rFonts w:cs="Times New Roman" w:hint="eastAsia"/>
          <w:szCs w:val="32"/>
          <w:lang w:eastAsia="zh-Hans"/>
        </w:rPr>
        <w:t>《</w:t>
      </w:r>
      <w:r>
        <w:rPr>
          <w:rFonts w:cs="Times New Roman" w:hint="eastAsia"/>
          <w:szCs w:val="32"/>
        </w:rPr>
        <w:t>中华人民共和国</w:t>
      </w:r>
      <w:r>
        <w:rPr>
          <w:rFonts w:cs="Times New Roman" w:hint="eastAsia"/>
          <w:szCs w:val="32"/>
          <w:lang w:eastAsia="zh-Hans"/>
        </w:rPr>
        <w:t>个人信息保护法》《河南省数字经济促进条例》</w:t>
      </w:r>
      <w:r>
        <w:t>等法律、法规和有关规定</w:t>
      </w:r>
      <w:r>
        <w:rPr>
          <w:rFonts w:hint="eastAsia"/>
        </w:rPr>
        <w:t>，以及</w:t>
      </w:r>
      <w:r>
        <w:rPr>
          <w:rFonts w:cs="Times New Roman" w:hint="eastAsia"/>
          <w:szCs w:val="32"/>
        </w:rPr>
        <w:t>《郑州市数据要素市场化配置改革行动计划（</w:t>
      </w:r>
      <w:r>
        <w:rPr>
          <w:rFonts w:cs="Times New Roman" w:hint="eastAsia"/>
          <w:szCs w:val="32"/>
        </w:rPr>
        <w:t>2023</w:t>
      </w:r>
      <w:r>
        <w:rPr>
          <w:rFonts w:cs="Times New Roman" w:hint="eastAsia"/>
          <w:szCs w:val="32"/>
        </w:rPr>
        <w:t>—</w:t>
      </w:r>
      <w:r>
        <w:rPr>
          <w:rFonts w:cs="Times New Roman" w:hint="eastAsia"/>
          <w:szCs w:val="32"/>
        </w:rPr>
        <w:t>2025</w:t>
      </w:r>
      <w:r>
        <w:rPr>
          <w:rFonts w:cs="Times New Roman" w:hint="eastAsia"/>
          <w:szCs w:val="32"/>
        </w:rPr>
        <w:t>年）》中关于数据产品登记的有关要求</w:t>
      </w:r>
      <w:r>
        <w:rPr>
          <w:rFonts w:ascii="仿宋_GB2312" w:hint="eastAsia"/>
          <w:szCs w:val="36"/>
        </w:rPr>
        <w:t>，</w:t>
      </w:r>
      <w:r>
        <w:rPr>
          <w:rFonts w:hint="eastAsia"/>
          <w:shd w:val="clear" w:color="auto" w:fill="FFFFFF"/>
        </w:rPr>
        <w:t>现就全市推进数据产品登记工作提出如下意见。</w:t>
      </w:r>
    </w:p>
    <w:p w14:paraId="7EF17815" w14:textId="77777777" w:rsidR="00860BE4" w:rsidRDefault="00000000">
      <w:pPr>
        <w:ind w:firstLine="640"/>
        <w:jc w:val="left"/>
        <w:outlineLvl w:val="0"/>
        <w:rPr>
          <w:rFonts w:ascii="黑体" w:eastAsia="黑体" w:hAnsi="黑体"/>
        </w:rPr>
      </w:pPr>
      <w:bookmarkStart w:id="0" w:name="_Toc2092011657"/>
      <w:bookmarkStart w:id="1" w:name="_Toc591553578"/>
      <w:bookmarkStart w:id="2" w:name="_Toc1761875050"/>
      <w:bookmarkStart w:id="3" w:name="_Toc1903207355"/>
      <w:bookmarkStart w:id="4" w:name="_Toc150418677"/>
      <w:r>
        <w:rPr>
          <w:rFonts w:ascii="黑体" w:eastAsia="黑体" w:hAnsi="黑体" w:hint="eastAsia"/>
        </w:rPr>
        <w:t>一、总体要求</w:t>
      </w:r>
      <w:bookmarkEnd w:id="0"/>
      <w:bookmarkEnd w:id="1"/>
      <w:bookmarkEnd w:id="2"/>
      <w:bookmarkEnd w:id="3"/>
      <w:bookmarkEnd w:id="4"/>
    </w:p>
    <w:p w14:paraId="1098B0A6" w14:textId="77777777" w:rsidR="00860BE4" w:rsidRDefault="00000000">
      <w:pPr>
        <w:ind w:firstLine="640"/>
        <w:outlineLvl w:val="1"/>
        <w:rPr>
          <w:rFonts w:ascii="楷体_GB2312" w:eastAsia="楷体_GB2312" w:hAnsi="楷体"/>
          <w:szCs w:val="22"/>
        </w:rPr>
      </w:pPr>
      <w:bookmarkStart w:id="5" w:name="_Toc1539183483"/>
      <w:bookmarkStart w:id="6" w:name="_Toc1598263145"/>
      <w:bookmarkStart w:id="7" w:name="_Toc733548271"/>
      <w:bookmarkStart w:id="8" w:name="_Toc803881819"/>
      <w:bookmarkStart w:id="9" w:name="_Toc641362645"/>
      <w:bookmarkStart w:id="10" w:name="_Toc1443515470"/>
      <w:bookmarkStart w:id="11" w:name="_Toc2119099668"/>
      <w:bookmarkStart w:id="12" w:name="_Toc437093420"/>
      <w:bookmarkStart w:id="13" w:name="_Toc1837650515"/>
      <w:bookmarkStart w:id="14" w:name="_Toc181956867"/>
      <w:r>
        <w:rPr>
          <w:rFonts w:ascii="楷体_GB2312" w:eastAsia="楷体_GB2312" w:hAnsi="楷体" w:hint="eastAsia"/>
          <w:szCs w:val="22"/>
        </w:rPr>
        <w:t>（一）指导思想</w:t>
      </w:r>
      <w:bookmarkEnd w:id="5"/>
      <w:bookmarkEnd w:id="6"/>
      <w:bookmarkEnd w:id="7"/>
      <w:bookmarkEnd w:id="8"/>
      <w:bookmarkEnd w:id="9"/>
      <w:bookmarkEnd w:id="10"/>
      <w:bookmarkEnd w:id="11"/>
      <w:bookmarkEnd w:id="12"/>
      <w:bookmarkEnd w:id="13"/>
      <w:bookmarkEnd w:id="14"/>
    </w:p>
    <w:p w14:paraId="4CBD7CE3" w14:textId="77777777" w:rsidR="00860BE4" w:rsidRDefault="00000000">
      <w:pPr>
        <w:pStyle w:val="20"/>
        <w:spacing w:after="0"/>
        <w:ind w:firstLine="640"/>
        <w:rPr>
          <w:rFonts w:ascii="仿宋_GB2312"/>
          <w:szCs w:val="36"/>
          <w:lang w:eastAsia="zh-Hans"/>
        </w:rPr>
      </w:pPr>
      <w:bookmarkStart w:id="15" w:name="_Toc572021201"/>
      <w:r>
        <w:rPr>
          <w:rFonts w:ascii="Times New Roman Regular" w:hAnsi="Times New Roman Regular" w:cs="Times New Roman Regular"/>
          <w:bCs/>
          <w:szCs w:val="22"/>
        </w:rPr>
        <w:t>以习近平新时代中国特色社会主义思想为指导，</w:t>
      </w:r>
      <w:r>
        <w:rPr>
          <w:rFonts w:ascii="Times New Roman Regular" w:hAnsi="Times New Roman Regular" w:cs="Times New Roman Regular" w:hint="eastAsia"/>
          <w:bCs/>
          <w:szCs w:val="22"/>
        </w:rPr>
        <w:t>深入</w:t>
      </w:r>
      <w:r>
        <w:rPr>
          <w:rFonts w:ascii="Times New Roman Regular" w:hAnsi="Times New Roman Regular" w:cs="Times New Roman Regular"/>
          <w:bCs/>
          <w:szCs w:val="22"/>
        </w:rPr>
        <w:t>贯彻党的二十大精神，</w:t>
      </w:r>
      <w:r>
        <w:rPr>
          <w:rFonts w:ascii="Times New Roman Regular" w:hAnsi="Times New Roman Regular" w:cs="Times New Roman Regular" w:hint="eastAsia"/>
          <w:bCs/>
          <w:szCs w:val="22"/>
        </w:rPr>
        <w:t>完整、准确、全面贯彻新发展理念，加快构建新发展格局，</w:t>
      </w:r>
      <w:r>
        <w:rPr>
          <w:rFonts w:ascii="仿宋_GB2312" w:hint="eastAsia"/>
          <w:szCs w:val="36"/>
          <w:lang w:eastAsia="zh-Hans"/>
        </w:rPr>
        <w:t>深入落实党中央、国务院和河南省关于</w:t>
      </w:r>
      <w:r>
        <w:rPr>
          <w:rFonts w:ascii="仿宋_GB2312" w:hint="eastAsia"/>
          <w:szCs w:val="36"/>
        </w:rPr>
        <w:t>数据</w:t>
      </w:r>
      <w:r>
        <w:rPr>
          <w:rFonts w:ascii="仿宋_GB2312" w:hint="eastAsia"/>
          <w:szCs w:val="36"/>
          <w:lang w:eastAsia="zh-Hans"/>
        </w:rPr>
        <w:t>要素市场化配置的决策部署，以支撑数据产品交易活动规范有序开展为目标，加快推进全市数据产品登记工作开展，提升登记意识，引导数据交易机构建立完善数据产品登记规则体系</w:t>
      </w:r>
      <w:r>
        <w:rPr>
          <w:rFonts w:ascii="Times New Roman Regular" w:hAnsi="Times New Roman Regular" w:cs="Times New Roman Regular" w:hint="eastAsia"/>
          <w:bCs/>
          <w:szCs w:val="22"/>
        </w:rPr>
        <w:t>，加强登记管理，保护数据要素市场参与主体的合法权益，为郑州市数据要素市场化配置改革开展提供助力，支撑构建规范有序</w:t>
      </w:r>
      <w:r>
        <w:rPr>
          <w:rFonts w:ascii="Times New Roman Regular" w:hAnsi="Times New Roman Regular" w:cs="Times New Roman Regular" w:hint="eastAsia"/>
          <w:bCs/>
          <w:szCs w:val="22"/>
        </w:rPr>
        <w:lastRenderedPageBreak/>
        <w:t>的数据流通交易体系</w:t>
      </w:r>
      <w:r>
        <w:rPr>
          <w:rFonts w:ascii="仿宋_GB2312" w:hint="eastAsia"/>
          <w:szCs w:val="36"/>
          <w:lang w:eastAsia="zh-Hans"/>
        </w:rPr>
        <w:t>。</w:t>
      </w:r>
    </w:p>
    <w:p w14:paraId="1C6CED3B" w14:textId="77777777" w:rsidR="00860BE4" w:rsidRDefault="00000000">
      <w:pPr>
        <w:ind w:firstLine="640"/>
        <w:outlineLvl w:val="1"/>
        <w:rPr>
          <w:rFonts w:ascii="楷体_GB2312" w:eastAsia="楷体_GB2312" w:hAnsi="楷体"/>
          <w:szCs w:val="22"/>
        </w:rPr>
      </w:pPr>
      <w:bookmarkStart w:id="16" w:name="_Toc1283221339"/>
      <w:bookmarkStart w:id="17" w:name="_Toc1161550222"/>
      <w:bookmarkStart w:id="18" w:name="_Toc1835037200"/>
      <w:bookmarkStart w:id="19" w:name="_Toc1041744131"/>
      <w:bookmarkStart w:id="20" w:name="_Toc132350341"/>
      <w:bookmarkStart w:id="21" w:name="_Toc1022108656"/>
      <w:bookmarkStart w:id="22" w:name="_Toc282394451"/>
      <w:bookmarkStart w:id="23" w:name="_Toc468787019"/>
      <w:bookmarkEnd w:id="15"/>
      <w:r>
        <w:rPr>
          <w:rFonts w:ascii="楷体_GB2312" w:eastAsia="楷体_GB2312" w:hAnsi="楷体" w:hint="eastAsia"/>
          <w:szCs w:val="22"/>
        </w:rPr>
        <w:t>（二）基本原则</w:t>
      </w:r>
      <w:bookmarkEnd w:id="16"/>
      <w:bookmarkEnd w:id="17"/>
      <w:bookmarkEnd w:id="18"/>
      <w:bookmarkEnd w:id="19"/>
      <w:bookmarkEnd w:id="20"/>
      <w:bookmarkEnd w:id="21"/>
      <w:bookmarkEnd w:id="22"/>
      <w:bookmarkEnd w:id="23"/>
    </w:p>
    <w:p w14:paraId="19D59EF7" w14:textId="77777777" w:rsidR="00860BE4" w:rsidRDefault="00000000">
      <w:pPr>
        <w:pStyle w:val="a5"/>
        <w:spacing w:line="560" w:lineRule="exact"/>
        <w:ind w:firstLine="640"/>
        <w:rPr>
          <w:lang w:eastAsia="zh-Hans"/>
        </w:rPr>
      </w:pPr>
      <w:r>
        <w:rPr>
          <w:rFonts w:ascii="仿宋_GB2312" w:hint="eastAsia"/>
          <w:szCs w:val="36"/>
        </w:rPr>
        <w:t>坚持依法合</w:t>
      </w:r>
      <w:proofErr w:type="gramStart"/>
      <w:r>
        <w:rPr>
          <w:rFonts w:ascii="仿宋_GB2312" w:hint="eastAsia"/>
          <w:szCs w:val="36"/>
        </w:rPr>
        <w:t>规</w:t>
      </w:r>
      <w:proofErr w:type="gramEnd"/>
      <w:r>
        <w:rPr>
          <w:rFonts w:ascii="仿宋_GB2312" w:hint="eastAsia"/>
          <w:szCs w:val="36"/>
        </w:rPr>
        <w:t>。</w:t>
      </w:r>
      <w:r>
        <w:rPr>
          <w:rFonts w:hint="eastAsia"/>
          <w:lang w:eastAsia="zh-Hans"/>
        </w:rPr>
        <w:t>树立合规登记意识，引导交易前依法依规对数据产品进行登记，</w:t>
      </w:r>
      <w:r>
        <w:rPr>
          <w:rFonts w:ascii="仿宋_GB2312" w:hint="eastAsia"/>
          <w:szCs w:val="36"/>
        </w:rPr>
        <w:t>确保数据登记信息真实、有效、准确，在未侵犯第三方利益的前提下为数据产品登记申请者进行登记，推动数据产品交易活动依法有序开展，</w:t>
      </w:r>
      <w:r>
        <w:rPr>
          <w:rFonts w:hint="eastAsia"/>
          <w:lang w:eastAsia="zh-Hans"/>
        </w:rPr>
        <w:t>实现以登记的方式有效保障交易各方合法权益。</w:t>
      </w:r>
    </w:p>
    <w:p w14:paraId="33403BDA" w14:textId="77777777" w:rsidR="00860BE4" w:rsidRDefault="00000000">
      <w:pPr>
        <w:pStyle w:val="a5"/>
        <w:spacing w:line="560" w:lineRule="exact"/>
        <w:ind w:firstLine="640"/>
        <w:rPr>
          <w:rFonts w:ascii="仿宋_GB2312"/>
          <w:szCs w:val="36"/>
        </w:rPr>
      </w:pPr>
      <w:r>
        <w:rPr>
          <w:rFonts w:ascii="仿宋_GB2312" w:hint="eastAsia"/>
          <w:szCs w:val="36"/>
        </w:rPr>
        <w:t>坚持规范高效。充分考虑数据产品登记特点，创新数据产品登记方式，结合郑州市现实基础，支持数据交易机构作为登记机构积极开展数据产品登记，明确数据产品登记流程以及各环节管理要求，加强登记工作的落地实施，</w:t>
      </w:r>
      <w:r>
        <w:rPr>
          <w:rFonts w:hint="eastAsia"/>
          <w:bCs/>
        </w:rPr>
        <w:t>为数据流通业务的合法、合</w:t>
      </w:r>
      <w:proofErr w:type="gramStart"/>
      <w:r>
        <w:rPr>
          <w:rFonts w:hint="eastAsia"/>
          <w:bCs/>
        </w:rPr>
        <w:t>规</w:t>
      </w:r>
      <w:proofErr w:type="gramEnd"/>
      <w:r>
        <w:rPr>
          <w:rFonts w:hint="eastAsia"/>
          <w:bCs/>
        </w:rPr>
        <w:t>、可追溯提供保障。</w:t>
      </w:r>
    </w:p>
    <w:p w14:paraId="4244F708" w14:textId="77777777" w:rsidR="00860BE4" w:rsidRDefault="00000000">
      <w:pPr>
        <w:pStyle w:val="a5"/>
        <w:spacing w:line="560" w:lineRule="exact"/>
        <w:ind w:firstLine="640"/>
        <w:rPr>
          <w:rFonts w:ascii="仿宋_GB2312"/>
          <w:szCs w:val="36"/>
        </w:rPr>
      </w:pPr>
      <w:r>
        <w:rPr>
          <w:rFonts w:ascii="仿宋_GB2312" w:hint="eastAsia"/>
          <w:szCs w:val="36"/>
        </w:rPr>
        <w:t>坚持平等守信。树立“公正平等、诚实守信”意识，在数据产品登记过程中，平等对待登记申请者，确保登记材料的真实有效，客观务实的对登记申请做出评估判断，通过登记保障数据产品交易各方合法权益，促进数据开发利用。</w:t>
      </w:r>
    </w:p>
    <w:p w14:paraId="6AC5C9C4" w14:textId="77777777" w:rsidR="00860BE4" w:rsidRDefault="00000000">
      <w:pPr>
        <w:pStyle w:val="a5"/>
        <w:spacing w:line="560" w:lineRule="exact"/>
        <w:ind w:firstLine="640"/>
        <w:rPr>
          <w:rFonts w:ascii="仿宋_GB2312"/>
          <w:szCs w:val="36"/>
        </w:rPr>
      </w:pPr>
      <w:r>
        <w:rPr>
          <w:rFonts w:ascii="仿宋_GB2312" w:hint="eastAsia"/>
          <w:szCs w:val="36"/>
        </w:rPr>
        <w:t>坚持安全推进。积极推进数据产品登记有关基础设施建设，</w:t>
      </w:r>
      <w:r>
        <w:rPr>
          <w:rFonts w:hint="eastAsia"/>
          <w:shd w:val="clear" w:color="auto" w:fill="FFFFFF"/>
        </w:rPr>
        <w:t>建立健全登记及披露机制，</w:t>
      </w:r>
      <w:r>
        <w:rPr>
          <w:rFonts w:ascii="仿宋_GB2312" w:hint="eastAsia"/>
          <w:szCs w:val="36"/>
        </w:rPr>
        <w:t>逐步完善登记安全管理体系，构建规范有序的数据产品登记环境，加强监督管理，在保证安全合</w:t>
      </w:r>
      <w:proofErr w:type="gramStart"/>
      <w:r>
        <w:rPr>
          <w:rFonts w:ascii="仿宋_GB2312" w:hint="eastAsia"/>
          <w:szCs w:val="36"/>
        </w:rPr>
        <w:t>规</w:t>
      </w:r>
      <w:proofErr w:type="gramEnd"/>
      <w:r>
        <w:rPr>
          <w:rFonts w:ascii="仿宋_GB2312" w:hint="eastAsia"/>
          <w:szCs w:val="36"/>
        </w:rPr>
        <w:t>的前提下，积极推动数据产品登记开展。</w:t>
      </w:r>
    </w:p>
    <w:p w14:paraId="40DA5891" w14:textId="77777777" w:rsidR="00860BE4" w:rsidRDefault="00000000">
      <w:pPr>
        <w:ind w:firstLine="640"/>
        <w:outlineLvl w:val="1"/>
        <w:rPr>
          <w:rFonts w:ascii="楷体_GB2312" w:eastAsia="楷体_GB2312" w:hAnsi="楷体"/>
          <w:szCs w:val="22"/>
        </w:rPr>
      </w:pPr>
      <w:bookmarkStart w:id="24" w:name="_Toc264678087"/>
      <w:bookmarkStart w:id="25" w:name="_Toc1457565833"/>
      <w:bookmarkStart w:id="26" w:name="_Toc1933411137"/>
      <w:bookmarkStart w:id="27" w:name="_Toc159435726"/>
      <w:bookmarkStart w:id="28" w:name="_Toc2070261399"/>
      <w:bookmarkStart w:id="29" w:name="_Toc1766606542"/>
      <w:bookmarkStart w:id="30" w:name="_Toc1548229924"/>
      <w:r>
        <w:rPr>
          <w:rFonts w:ascii="楷体_GB2312" w:eastAsia="楷体_GB2312" w:hAnsi="楷体" w:hint="eastAsia"/>
          <w:szCs w:val="22"/>
        </w:rPr>
        <w:t>（三）总体目标</w:t>
      </w:r>
      <w:bookmarkEnd w:id="24"/>
      <w:bookmarkEnd w:id="25"/>
      <w:bookmarkEnd w:id="26"/>
      <w:bookmarkEnd w:id="27"/>
      <w:bookmarkEnd w:id="28"/>
      <w:bookmarkEnd w:id="29"/>
      <w:bookmarkEnd w:id="30"/>
    </w:p>
    <w:p w14:paraId="13848FF7" w14:textId="77777777" w:rsidR="00860BE4" w:rsidRDefault="00000000">
      <w:pPr>
        <w:ind w:firstLine="640"/>
        <w:rPr>
          <w:lang w:bidi="zh-CN"/>
        </w:rPr>
      </w:pPr>
      <w:r>
        <w:rPr>
          <w:rFonts w:hint="eastAsia"/>
          <w:lang w:bidi="zh-CN"/>
        </w:rPr>
        <w:t>推动建立“无登记、</w:t>
      </w:r>
      <w:proofErr w:type="gramStart"/>
      <w:r>
        <w:rPr>
          <w:rFonts w:hint="eastAsia"/>
          <w:lang w:bidi="zh-CN"/>
        </w:rPr>
        <w:t>不</w:t>
      </w:r>
      <w:proofErr w:type="gramEnd"/>
      <w:r>
        <w:rPr>
          <w:rFonts w:hint="eastAsia"/>
          <w:lang w:bidi="zh-CN"/>
        </w:rPr>
        <w:t>交易”数据要素市场流通规则，确</w:t>
      </w:r>
      <w:r>
        <w:rPr>
          <w:rFonts w:hint="eastAsia"/>
          <w:lang w:bidi="zh-CN"/>
        </w:rPr>
        <w:lastRenderedPageBreak/>
        <w:t>保交易标的物合法合</w:t>
      </w:r>
      <w:proofErr w:type="gramStart"/>
      <w:r>
        <w:rPr>
          <w:rFonts w:hint="eastAsia"/>
          <w:lang w:bidi="zh-CN"/>
        </w:rPr>
        <w:t>规</w:t>
      </w:r>
      <w:proofErr w:type="gramEnd"/>
      <w:r>
        <w:rPr>
          <w:rFonts w:hint="eastAsia"/>
          <w:lang w:bidi="zh-CN"/>
        </w:rPr>
        <w:t>，</w:t>
      </w:r>
      <w:r>
        <w:rPr>
          <w:rFonts w:ascii="Arial" w:hAnsi="Arial" w:cs="Arial"/>
          <w:shd w:val="clear" w:color="auto" w:fill="FFFFFF"/>
        </w:rPr>
        <w:t>保护数据流通交易主体的合法权益</w:t>
      </w:r>
      <w:r>
        <w:rPr>
          <w:rFonts w:ascii="Arial" w:hAnsi="Arial" w:cs="Arial" w:hint="eastAsia"/>
          <w:shd w:val="clear" w:color="auto" w:fill="FFFFFF"/>
        </w:rPr>
        <w:t>，</w:t>
      </w:r>
      <w:r>
        <w:rPr>
          <w:rFonts w:hint="eastAsia"/>
          <w:lang w:bidi="zh-CN"/>
        </w:rPr>
        <w:t>促进数据产品交易活动的规范开展，</w:t>
      </w:r>
      <w:r>
        <w:rPr>
          <w:rFonts w:ascii="Arial" w:hAnsi="Arial" w:cs="Arial" w:hint="eastAsia"/>
          <w:shd w:val="clear" w:color="auto" w:fill="FFFFFF"/>
        </w:rPr>
        <w:t>保障数据要素市场体系安全和可持续发展，</w:t>
      </w:r>
      <w:r>
        <w:rPr>
          <w:rFonts w:hint="eastAsia"/>
          <w:lang w:bidi="zh-CN"/>
        </w:rPr>
        <w:t>进一步充分激活市场。</w:t>
      </w:r>
    </w:p>
    <w:p w14:paraId="5F93AFAD" w14:textId="77777777" w:rsidR="00860BE4" w:rsidRDefault="00000000">
      <w:pPr>
        <w:ind w:firstLine="640"/>
        <w:outlineLvl w:val="0"/>
        <w:rPr>
          <w:rFonts w:ascii="黑体" w:eastAsia="黑体" w:hAnsi="黑体"/>
          <w:szCs w:val="36"/>
          <w:lang w:eastAsia="zh-Hans"/>
        </w:rPr>
      </w:pPr>
      <w:bookmarkStart w:id="31" w:name="_Toc962993902"/>
      <w:bookmarkStart w:id="32" w:name="_Toc1265916802"/>
      <w:bookmarkStart w:id="33" w:name="_Toc1005975272"/>
      <w:bookmarkStart w:id="34" w:name="_Toc247247972"/>
      <w:r>
        <w:rPr>
          <w:rFonts w:ascii="黑体" w:eastAsia="黑体" w:hAnsi="黑体" w:hint="eastAsia"/>
          <w:szCs w:val="36"/>
          <w:lang w:eastAsia="zh-Hans"/>
        </w:rPr>
        <w:t>二、</w:t>
      </w:r>
      <w:bookmarkStart w:id="35" w:name="_Toc115808459"/>
      <w:bookmarkStart w:id="36" w:name="_Toc900515570"/>
      <w:bookmarkStart w:id="37" w:name="_Toc1143200385"/>
      <w:bookmarkStart w:id="38" w:name="_Toc943628434"/>
      <w:bookmarkStart w:id="39" w:name="_Toc287643673"/>
      <w:bookmarkStart w:id="40" w:name="_Toc1194026262"/>
      <w:bookmarkStart w:id="41" w:name="_Toc1601747122"/>
      <w:bookmarkStart w:id="42" w:name="_Toc244016497"/>
      <w:bookmarkStart w:id="43" w:name="_Toc1589185943"/>
      <w:bookmarkStart w:id="44" w:name="_Toc649907916"/>
      <w:bookmarkStart w:id="45" w:name="_Toc330988652"/>
      <w:bookmarkStart w:id="46" w:name="_Toc1608550940"/>
      <w:bookmarkEnd w:id="31"/>
      <w:bookmarkEnd w:id="32"/>
      <w:bookmarkEnd w:id="33"/>
      <w:bookmarkEnd w:id="34"/>
      <w:r>
        <w:rPr>
          <w:rFonts w:ascii="黑体" w:eastAsia="黑体" w:hAnsi="黑体" w:hint="eastAsia"/>
          <w:szCs w:val="36"/>
          <w:lang w:eastAsia="zh-Hans"/>
        </w:rPr>
        <w:t>规范数据产品登记流程</w:t>
      </w:r>
    </w:p>
    <w:p w14:paraId="3FC75B7C" w14:textId="77777777" w:rsidR="00860BE4" w:rsidRDefault="00000000">
      <w:pPr>
        <w:ind w:firstLine="640"/>
        <w:rPr>
          <w:lang w:bidi="zh-CN"/>
        </w:rPr>
      </w:pPr>
      <w:r>
        <w:rPr>
          <w:rFonts w:hint="eastAsia"/>
          <w:lang w:eastAsia="zh-Hans"/>
        </w:rPr>
        <w:t>逐步健全明晰数据</w:t>
      </w:r>
      <w:r>
        <w:rPr>
          <w:rFonts w:ascii="仿宋_GB2312" w:hint="eastAsia"/>
          <w:szCs w:val="36"/>
        </w:rPr>
        <w:t>产品</w:t>
      </w:r>
      <w:r>
        <w:rPr>
          <w:rFonts w:hint="eastAsia"/>
          <w:lang w:eastAsia="zh-Hans"/>
        </w:rPr>
        <w:t>登记流程，规范统一登记要求，重点围绕申请、受理、审查、公示、凭证发放等环节开展登记工作，协同共建有序的数据产品登记体系。</w:t>
      </w:r>
      <w:r>
        <w:rPr>
          <w:rFonts w:hint="eastAsia"/>
          <w:lang w:bidi="zh-CN"/>
        </w:rPr>
        <w:t>大力支持对数据元件、模型、核验等数据初级产品，以及利用数据初级产品进行分析研究、加工处理所形成的产品进行登记，推动实现以登记的方式有效保障数据产品交易各方合法权益。</w:t>
      </w:r>
    </w:p>
    <w:p w14:paraId="5E0D8381" w14:textId="77777777" w:rsidR="00860BE4" w:rsidRDefault="00000000">
      <w:pPr>
        <w:ind w:firstLine="640"/>
        <w:outlineLvl w:val="1"/>
        <w:rPr>
          <w:rFonts w:eastAsia="楷体_GB2312" w:cs="Times New Roman"/>
          <w:szCs w:val="32"/>
        </w:rPr>
      </w:pPr>
      <w:r>
        <w:rPr>
          <w:rFonts w:eastAsia="楷体_GB2312" w:cs="Times New Roman" w:hint="eastAsia"/>
          <w:szCs w:val="32"/>
        </w:rPr>
        <w:t>（一）明晰申请受理审核要求</w:t>
      </w:r>
    </w:p>
    <w:p w14:paraId="477AD570" w14:textId="77777777" w:rsidR="00860BE4" w:rsidRDefault="00000000">
      <w:pPr>
        <w:ind w:firstLine="640"/>
        <w:rPr>
          <w:szCs w:val="32"/>
          <w:lang w:eastAsia="zh-Hans"/>
        </w:rPr>
      </w:pPr>
      <w:r>
        <w:rPr>
          <w:rFonts w:hint="eastAsia"/>
          <w:lang w:eastAsia="zh-Hans"/>
        </w:rPr>
        <w:t>指导登记机构以简洁、清晰的方式明确登记所需材料，在数据</w:t>
      </w:r>
      <w:r>
        <w:rPr>
          <w:rFonts w:ascii="仿宋_GB2312" w:hint="eastAsia"/>
          <w:szCs w:val="36"/>
        </w:rPr>
        <w:t>产品</w:t>
      </w:r>
      <w:r>
        <w:rPr>
          <w:rFonts w:hint="eastAsia"/>
          <w:lang w:eastAsia="zh-Hans"/>
        </w:rPr>
        <w:t>介绍说明书、登记申请表、数据来源证明材料、</w:t>
      </w:r>
      <w:r>
        <w:rPr>
          <w:rFonts w:hint="eastAsia"/>
        </w:rPr>
        <w:t>登记申请者资格证明材料等基础上进一步细化材料要求。对非初次登记情形，明确要求登记申请者说明并提供已在其他登记机构办理登记时的证明材料，避免登记内容冲突。</w:t>
      </w:r>
      <w:r>
        <w:rPr>
          <w:rFonts w:hint="eastAsia"/>
          <w:szCs w:val="32"/>
        </w:rPr>
        <w:t>登记机构可基于登记申请者材料提交情况，判定是否受理登记申请并告知申请者，对于</w:t>
      </w:r>
      <w:r>
        <w:rPr>
          <w:rFonts w:hint="eastAsia"/>
          <w:spacing w:val="15"/>
          <w:szCs w:val="32"/>
          <w:shd w:val="clear" w:color="auto" w:fill="FFFFFF"/>
        </w:rPr>
        <w:t>不予受理情形，告知需要补正的申请材料或说明拒绝受理原因。</w:t>
      </w:r>
      <w:r>
        <w:rPr>
          <w:rFonts w:hint="eastAsia"/>
          <w:szCs w:val="32"/>
        </w:rPr>
        <w:t>逐步明确登记受理条件，对于违反法律法规规定、涉及权属争议等的数据</w:t>
      </w:r>
      <w:r>
        <w:rPr>
          <w:rFonts w:ascii="仿宋_GB2312" w:hint="eastAsia"/>
          <w:szCs w:val="32"/>
        </w:rPr>
        <w:t>产品</w:t>
      </w:r>
      <w:r>
        <w:rPr>
          <w:rFonts w:hint="eastAsia"/>
          <w:szCs w:val="32"/>
        </w:rPr>
        <w:t>不予登记。</w:t>
      </w:r>
    </w:p>
    <w:p w14:paraId="4E5B00E7" w14:textId="77777777" w:rsidR="00860BE4" w:rsidRDefault="00000000">
      <w:pPr>
        <w:ind w:firstLine="640"/>
        <w:outlineLvl w:val="1"/>
        <w:rPr>
          <w:rFonts w:eastAsia="楷体_GB2312" w:cs="Times New Roman"/>
          <w:szCs w:val="32"/>
        </w:rPr>
      </w:pPr>
      <w:r>
        <w:rPr>
          <w:rFonts w:eastAsia="楷体_GB2312" w:cs="Times New Roman" w:hint="eastAsia"/>
          <w:szCs w:val="32"/>
        </w:rPr>
        <w:t>（二）加强数据产品登记审查</w:t>
      </w:r>
    </w:p>
    <w:p w14:paraId="143E883F" w14:textId="77777777" w:rsidR="00860BE4" w:rsidRDefault="00000000">
      <w:pPr>
        <w:pStyle w:val="a0"/>
        <w:spacing w:after="0"/>
        <w:ind w:firstLine="640"/>
        <w:rPr>
          <w:spacing w:val="15"/>
          <w:szCs w:val="32"/>
          <w:shd w:val="clear" w:color="auto" w:fill="FFFFFF"/>
        </w:rPr>
      </w:pPr>
      <w:r>
        <w:rPr>
          <w:rFonts w:hint="eastAsia"/>
          <w:szCs w:val="32"/>
        </w:rPr>
        <w:t>登记审查环节秉持</w:t>
      </w:r>
      <w:r>
        <w:rPr>
          <w:rFonts w:hint="eastAsia"/>
          <w:spacing w:val="15"/>
          <w:szCs w:val="32"/>
          <w:shd w:val="clear" w:color="auto" w:fill="FFFFFF"/>
        </w:rPr>
        <w:t>形式审查与实质审查相结合的原则，</w:t>
      </w:r>
      <w:r>
        <w:rPr>
          <w:rFonts w:hint="eastAsia"/>
        </w:rPr>
        <w:lastRenderedPageBreak/>
        <w:t>积极</w:t>
      </w:r>
      <w:r>
        <w:rPr>
          <w:rFonts w:hint="eastAsia"/>
          <w:lang w:eastAsia="zh-Hans"/>
        </w:rPr>
        <w:t>引入第三方登记服务机构，</w:t>
      </w:r>
      <w:r>
        <w:rPr>
          <w:rFonts w:hint="eastAsia"/>
          <w:spacing w:val="15"/>
          <w:szCs w:val="32"/>
          <w:shd w:val="clear" w:color="auto" w:fill="FFFFFF"/>
        </w:rPr>
        <w:t>组织具备审核资质的服务机构对登记申请开展实质审查，登记机构负责形式审查，高效准确地开展数据产品登记。第三方登记服务机构对于任何组织和个人的不当干预应当予以拒绝，不与委托审查的数据产品登记申请者存在利益关联。</w:t>
      </w:r>
    </w:p>
    <w:p w14:paraId="3DFD82B2" w14:textId="77777777" w:rsidR="00860BE4" w:rsidRDefault="00000000">
      <w:pPr>
        <w:ind w:firstLine="640"/>
        <w:outlineLvl w:val="1"/>
        <w:rPr>
          <w:rFonts w:eastAsia="楷体_GB2312" w:cs="Times New Roman"/>
          <w:szCs w:val="32"/>
        </w:rPr>
      </w:pPr>
      <w:r>
        <w:rPr>
          <w:rFonts w:eastAsia="楷体_GB2312" w:cs="Times New Roman" w:hint="eastAsia"/>
          <w:szCs w:val="32"/>
        </w:rPr>
        <w:t>（三）加强公示和凭证发放管理</w:t>
      </w:r>
    </w:p>
    <w:p w14:paraId="418BCE24" w14:textId="77777777" w:rsidR="00860BE4" w:rsidRDefault="00000000">
      <w:pPr>
        <w:pStyle w:val="a0"/>
        <w:spacing w:after="0"/>
        <w:ind w:firstLine="670"/>
        <w:rPr>
          <w:lang w:eastAsia="zh-Hans"/>
        </w:rPr>
      </w:pPr>
      <w:r>
        <w:rPr>
          <w:rFonts w:hint="eastAsia"/>
          <w:spacing w:val="15"/>
          <w:szCs w:val="32"/>
          <w:shd w:val="clear" w:color="auto" w:fill="FFFFFF"/>
        </w:rPr>
        <w:t>通过审查的数据产品，登记机构应当将可公开的登记信息向社会公示，在设定的公示期内，对于无异议的数据产品准予登记，公示不通过的，终止登记。基于公示结果，支持登记机构为登记申请者发放登记凭证，载明数据产品名称、数据产品所有者、数据产品形式、数据产品时效、登记编号等，为后续数据</w:t>
      </w:r>
      <w:r>
        <w:rPr>
          <w:rFonts w:ascii="仿宋_GB2312" w:hint="eastAsia"/>
          <w:szCs w:val="32"/>
        </w:rPr>
        <w:t>产品</w:t>
      </w:r>
      <w:r>
        <w:rPr>
          <w:rFonts w:hint="eastAsia"/>
          <w:spacing w:val="15"/>
          <w:szCs w:val="32"/>
          <w:shd w:val="clear" w:color="auto" w:fill="FFFFFF"/>
        </w:rPr>
        <w:t>交易</w:t>
      </w:r>
      <w:r>
        <w:rPr>
          <w:rFonts w:hint="eastAsia"/>
          <w:szCs w:val="32"/>
          <w:lang w:eastAsia="zh-Hans"/>
        </w:rPr>
        <w:t>以及数据资产化、资本化应用提供支撑。</w:t>
      </w:r>
      <w:r>
        <w:rPr>
          <w:rFonts w:hint="eastAsia"/>
          <w:lang w:eastAsia="zh-Hans"/>
        </w:rPr>
        <w:t>凭证有效期满后，需要继续使用凭证的，登记申请者在期满前应及时申请续证。</w:t>
      </w:r>
    </w:p>
    <w:p w14:paraId="2B700F00" w14:textId="77777777" w:rsidR="00860BE4" w:rsidRDefault="00000000">
      <w:pPr>
        <w:ind w:firstLine="640"/>
        <w:outlineLvl w:val="1"/>
        <w:rPr>
          <w:rFonts w:eastAsia="楷体_GB2312" w:cs="Times New Roman"/>
          <w:szCs w:val="32"/>
        </w:rPr>
      </w:pPr>
      <w:r>
        <w:rPr>
          <w:rFonts w:eastAsia="楷体_GB2312" w:cs="Times New Roman" w:hint="eastAsia"/>
          <w:szCs w:val="32"/>
        </w:rPr>
        <w:t>（四）推进登记变更和撤销管理</w:t>
      </w:r>
    </w:p>
    <w:p w14:paraId="04FC3743" w14:textId="77777777" w:rsidR="00860BE4" w:rsidRDefault="00000000">
      <w:pPr>
        <w:pStyle w:val="a0"/>
        <w:spacing w:after="0"/>
        <w:ind w:firstLine="640"/>
      </w:pPr>
      <w:r>
        <w:rPr>
          <w:rFonts w:hint="eastAsia"/>
          <w:lang w:eastAsia="zh-Hans"/>
        </w:rPr>
        <w:t>坚持登记前与登记后</w:t>
      </w:r>
      <w:r>
        <w:rPr>
          <w:rFonts w:hint="eastAsia"/>
        </w:rPr>
        <w:t>管理并重</w:t>
      </w:r>
      <w:r>
        <w:rPr>
          <w:rFonts w:hint="eastAsia"/>
          <w:lang w:eastAsia="zh-Hans"/>
        </w:rPr>
        <w:t>，持续开展登记变更、登记撤销、异议处理等数据</w:t>
      </w:r>
      <w:r>
        <w:rPr>
          <w:rFonts w:ascii="仿宋_GB2312" w:hint="eastAsia"/>
          <w:szCs w:val="36"/>
        </w:rPr>
        <w:t>产品</w:t>
      </w:r>
      <w:r>
        <w:rPr>
          <w:rFonts w:hint="eastAsia"/>
          <w:lang w:eastAsia="zh-Hans"/>
        </w:rPr>
        <w:t>登记成果管理工作。加强对数据</w:t>
      </w:r>
      <w:r>
        <w:rPr>
          <w:rFonts w:ascii="仿宋_GB2312" w:hint="eastAsia"/>
          <w:szCs w:val="36"/>
        </w:rPr>
        <w:t>产品</w:t>
      </w:r>
      <w:r>
        <w:rPr>
          <w:rFonts w:hint="eastAsia"/>
          <w:lang w:eastAsia="zh-Hans"/>
        </w:rPr>
        <w:t>登记内容变化情况的监测，对于</w:t>
      </w:r>
      <w:r>
        <w:rPr>
          <w:rFonts w:hint="eastAsia"/>
        </w:rPr>
        <w:t>原登记内容发生变化或者需更正原登记内容的，鼓励登记申请者及时主动向登记机构申请变更登记。加强登记合</w:t>
      </w:r>
      <w:proofErr w:type="gramStart"/>
      <w:r>
        <w:rPr>
          <w:rFonts w:hint="eastAsia"/>
        </w:rPr>
        <w:t>规</w:t>
      </w:r>
      <w:proofErr w:type="gramEnd"/>
      <w:r>
        <w:rPr>
          <w:rFonts w:hint="eastAsia"/>
        </w:rPr>
        <w:t>管理，对通过徇私舞弊、提供虚假登记材料等方式进行登记的数据</w:t>
      </w:r>
      <w:r>
        <w:rPr>
          <w:rFonts w:ascii="仿宋_GB2312" w:hint="eastAsia"/>
          <w:szCs w:val="36"/>
        </w:rPr>
        <w:t>产品</w:t>
      </w:r>
      <w:r>
        <w:rPr>
          <w:rFonts w:hint="eastAsia"/>
        </w:rPr>
        <w:t>进行撤销处理。支持认为已登记数据</w:t>
      </w:r>
      <w:r>
        <w:rPr>
          <w:rFonts w:ascii="仿宋_GB2312" w:hint="eastAsia"/>
          <w:szCs w:val="36"/>
        </w:rPr>
        <w:t>产品</w:t>
      </w:r>
      <w:r>
        <w:rPr>
          <w:rFonts w:hint="eastAsia"/>
        </w:rPr>
        <w:t>存在侵权等问题的利害关系者，向相关登记机构</w:t>
      </w:r>
      <w:r>
        <w:rPr>
          <w:rFonts w:hint="eastAsia"/>
        </w:rPr>
        <w:lastRenderedPageBreak/>
        <w:t>提出异议并提交相应证明材料，申请异议处理。</w:t>
      </w:r>
    </w:p>
    <w:p w14:paraId="5AE0CB06" w14:textId="77777777" w:rsidR="00860BE4" w:rsidRDefault="00000000">
      <w:pPr>
        <w:ind w:firstLine="640"/>
        <w:outlineLvl w:val="0"/>
        <w:rPr>
          <w:rFonts w:ascii="黑体" w:eastAsia="黑体" w:hAnsi="黑体"/>
          <w:szCs w:val="36"/>
          <w:lang w:eastAsia="zh-Hans"/>
        </w:rPr>
      </w:pPr>
      <w:r>
        <w:rPr>
          <w:rFonts w:ascii="黑体" w:eastAsia="黑体" w:hAnsi="黑体" w:hint="eastAsia"/>
          <w:szCs w:val="36"/>
          <w:lang w:eastAsia="zh-Hans"/>
        </w:rPr>
        <w:t>三、推动产品登记成果应用</w:t>
      </w:r>
    </w:p>
    <w:p w14:paraId="7CD97C2B" w14:textId="77777777" w:rsidR="00860BE4" w:rsidRDefault="00000000">
      <w:pPr>
        <w:pStyle w:val="a0"/>
        <w:spacing w:after="0"/>
        <w:ind w:firstLine="640"/>
        <w:rPr>
          <w:lang w:eastAsia="zh-Hans"/>
        </w:rPr>
      </w:pPr>
      <w:r>
        <w:rPr>
          <w:rFonts w:hint="eastAsia"/>
          <w:lang w:eastAsia="zh-Hans"/>
        </w:rPr>
        <w:t>支持数据交易机构将登记完成后的数据产品进行市场挂牌，公开必要的产品信息，促进数据产品供需对接，活跃数据要素市场。探索将数据产品登记应用于企业数据资产确认、融资抵押、数据信托、争议仲裁、数据生产要素统计核算等。积极推动登记机构为数据产品登记申请者提供信息查询服务，为人民法院、人民检察院和公安机关等依照法定的条件和程序提供查询和取证支持。</w:t>
      </w:r>
    </w:p>
    <w:p w14:paraId="3E7D7967" w14:textId="77777777" w:rsidR="00860BE4" w:rsidRDefault="00000000">
      <w:pPr>
        <w:ind w:firstLine="640"/>
        <w:outlineLvl w:val="0"/>
        <w:rPr>
          <w:rFonts w:ascii="黑体" w:eastAsia="黑体" w:hAnsi="黑体"/>
          <w:szCs w:val="36"/>
          <w:lang w:eastAsia="zh-Hans"/>
        </w:rPr>
      </w:pPr>
      <w:r>
        <w:rPr>
          <w:rFonts w:ascii="黑体" w:eastAsia="黑体" w:hAnsi="黑体" w:hint="eastAsia"/>
          <w:szCs w:val="36"/>
          <w:lang w:eastAsia="zh-Hans"/>
        </w:rPr>
        <w:t>四、鼓励多方参与登记活动</w:t>
      </w:r>
    </w:p>
    <w:p w14:paraId="6EA740F4" w14:textId="77777777" w:rsidR="00860BE4" w:rsidRDefault="00000000">
      <w:pPr>
        <w:pStyle w:val="a0"/>
        <w:spacing w:after="0"/>
        <w:ind w:firstLine="640"/>
        <w:rPr>
          <w:lang w:eastAsia="zh-Hans"/>
        </w:rPr>
      </w:pPr>
      <w:r>
        <w:rPr>
          <w:rFonts w:hint="eastAsia"/>
          <w:lang w:eastAsia="zh-Hans"/>
        </w:rPr>
        <w:t>鼓励数据</w:t>
      </w:r>
      <w:r>
        <w:rPr>
          <w:rFonts w:ascii="仿宋_GB2312" w:hint="eastAsia"/>
          <w:szCs w:val="36"/>
        </w:rPr>
        <w:t>产品</w:t>
      </w:r>
      <w:r>
        <w:rPr>
          <w:rFonts w:hint="eastAsia"/>
          <w:lang w:eastAsia="zh-Hans"/>
        </w:rPr>
        <w:t>交易各方主动参与数据</w:t>
      </w:r>
      <w:r>
        <w:rPr>
          <w:rFonts w:ascii="仿宋_GB2312" w:hint="eastAsia"/>
          <w:szCs w:val="36"/>
        </w:rPr>
        <w:t>产品</w:t>
      </w:r>
      <w:r>
        <w:rPr>
          <w:rFonts w:hint="eastAsia"/>
          <w:lang w:eastAsia="zh-Hans"/>
        </w:rPr>
        <w:t>登记，通过向登记机构提交登记申请并完成登记，维护自身合法权益。</w:t>
      </w:r>
      <w:r>
        <w:rPr>
          <w:rFonts w:hint="eastAsia"/>
        </w:rPr>
        <w:t>支持登记机构出台数据</w:t>
      </w:r>
      <w:r>
        <w:rPr>
          <w:rFonts w:ascii="仿宋_GB2312" w:hint="eastAsia"/>
          <w:szCs w:val="36"/>
        </w:rPr>
        <w:t>产品</w:t>
      </w:r>
      <w:r>
        <w:rPr>
          <w:rFonts w:hint="eastAsia"/>
        </w:rPr>
        <w:t>登记实施细则并不断细化，完善数据登记资料清单、服务管理流程等内容，提升数据</w:t>
      </w:r>
      <w:r>
        <w:rPr>
          <w:rFonts w:ascii="仿宋_GB2312" w:hint="eastAsia"/>
          <w:szCs w:val="36"/>
        </w:rPr>
        <w:t>产品</w:t>
      </w:r>
      <w:proofErr w:type="gramStart"/>
      <w:r>
        <w:rPr>
          <w:rFonts w:hint="eastAsia"/>
        </w:rPr>
        <w:t>登记全</w:t>
      </w:r>
      <w:proofErr w:type="gramEnd"/>
      <w:r>
        <w:rPr>
          <w:rFonts w:hint="eastAsia"/>
        </w:rPr>
        <w:t>生命周期的服务管理水平。</w:t>
      </w:r>
      <w:r>
        <w:rPr>
          <w:rFonts w:hint="eastAsia"/>
          <w:lang w:eastAsia="zh-Hans"/>
        </w:rPr>
        <w:t>鼓励第三方登记服务机构在客观公正的原则下，对登记申请者的履约能力、申请材料的有效性、数据来源的合法性等多方面进行实质性评估，并出具合规性意见评估结果。</w:t>
      </w:r>
    </w:p>
    <w:bookmarkEnd w:id="35"/>
    <w:bookmarkEnd w:id="36"/>
    <w:bookmarkEnd w:id="37"/>
    <w:bookmarkEnd w:id="38"/>
    <w:bookmarkEnd w:id="39"/>
    <w:bookmarkEnd w:id="40"/>
    <w:bookmarkEnd w:id="41"/>
    <w:bookmarkEnd w:id="42"/>
    <w:p w14:paraId="2173B6FF" w14:textId="77777777" w:rsidR="00860BE4" w:rsidRDefault="00000000">
      <w:pPr>
        <w:ind w:firstLine="640"/>
        <w:outlineLvl w:val="0"/>
        <w:rPr>
          <w:rFonts w:ascii="黑体" w:eastAsia="黑体" w:hAnsi="黑体"/>
          <w:szCs w:val="36"/>
          <w:lang w:eastAsia="zh-Hans"/>
        </w:rPr>
      </w:pPr>
      <w:r>
        <w:rPr>
          <w:rFonts w:ascii="黑体" w:eastAsia="黑体" w:hAnsi="黑体" w:hint="eastAsia"/>
          <w:szCs w:val="36"/>
          <w:lang w:eastAsia="zh-Hans"/>
        </w:rPr>
        <w:t>五、提升登记活动监管能力</w:t>
      </w:r>
    </w:p>
    <w:p w14:paraId="6F400CE8" w14:textId="77777777" w:rsidR="00860BE4" w:rsidRDefault="00000000">
      <w:pPr>
        <w:pStyle w:val="a0"/>
        <w:spacing w:after="0"/>
        <w:ind w:firstLine="640"/>
      </w:pPr>
      <w:r>
        <w:rPr>
          <w:rFonts w:hint="eastAsia"/>
          <w:lang w:eastAsia="zh-Hans"/>
        </w:rPr>
        <w:t>推动</w:t>
      </w:r>
      <w:r>
        <w:rPr>
          <w:rFonts w:hint="eastAsia"/>
        </w:rPr>
        <w:t>登记机构</w:t>
      </w:r>
      <w:r>
        <w:rPr>
          <w:rFonts w:hint="eastAsia"/>
          <w:lang w:eastAsia="zh-Hans"/>
        </w:rPr>
        <w:t>制定</w:t>
      </w:r>
      <w:r>
        <w:rPr>
          <w:rFonts w:hint="eastAsia"/>
        </w:rPr>
        <w:t>数据</w:t>
      </w:r>
      <w:r>
        <w:rPr>
          <w:rFonts w:ascii="仿宋_GB2312" w:hint="eastAsia"/>
          <w:szCs w:val="36"/>
        </w:rPr>
        <w:t>产品</w:t>
      </w:r>
      <w:r>
        <w:rPr>
          <w:rFonts w:hint="eastAsia"/>
          <w:lang w:eastAsia="zh-Hans"/>
        </w:rPr>
        <w:t>登记业务管理规范，加强登记工作内部管理，有序开展相关业务。加强对违法违规、侵犯个人隐私和商业秘密等情况的识别，依法采取必要处置措施，保</w:t>
      </w:r>
      <w:r>
        <w:rPr>
          <w:rFonts w:hint="eastAsia"/>
          <w:lang w:eastAsia="zh-Hans"/>
        </w:rPr>
        <w:lastRenderedPageBreak/>
        <w:t>存有关记录，及时向监管部门报告。促进第三方登记服务机构加强业务规范化管理，按照合同约定和规定程序提供第三方专业服务，保持公正客观。</w:t>
      </w:r>
      <w:r>
        <w:rPr>
          <w:rFonts w:hint="eastAsia"/>
        </w:rPr>
        <w:t>推动数据</w:t>
      </w:r>
      <w:r>
        <w:rPr>
          <w:rFonts w:ascii="仿宋_GB2312" w:hint="eastAsia"/>
          <w:szCs w:val="36"/>
        </w:rPr>
        <w:t>产品</w:t>
      </w:r>
      <w:r>
        <w:rPr>
          <w:rFonts w:hint="eastAsia"/>
        </w:rPr>
        <w:t>登记各参与方建立数据合</w:t>
      </w:r>
      <w:proofErr w:type="gramStart"/>
      <w:r>
        <w:rPr>
          <w:rFonts w:hint="eastAsia"/>
        </w:rPr>
        <w:t>规</w:t>
      </w:r>
      <w:proofErr w:type="gramEnd"/>
      <w:r>
        <w:rPr>
          <w:rFonts w:hint="eastAsia"/>
        </w:rPr>
        <w:t>管理组织结构，明确数据安全管理职责，加强数据</w:t>
      </w:r>
      <w:r>
        <w:rPr>
          <w:rFonts w:ascii="仿宋_GB2312" w:hint="eastAsia"/>
          <w:szCs w:val="36"/>
        </w:rPr>
        <w:t>产品</w:t>
      </w:r>
      <w:r>
        <w:rPr>
          <w:rFonts w:hint="eastAsia"/>
        </w:rPr>
        <w:t>登记合</w:t>
      </w:r>
      <w:proofErr w:type="gramStart"/>
      <w:r>
        <w:rPr>
          <w:rFonts w:hint="eastAsia"/>
        </w:rPr>
        <w:t>规</w:t>
      </w:r>
      <w:proofErr w:type="gramEnd"/>
      <w:r>
        <w:rPr>
          <w:rFonts w:hint="eastAsia"/>
        </w:rPr>
        <w:t>培训。</w:t>
      </w:r>
    </w:p>
    <w:p w14:paraId="073C09EF" w14:textId="77777777" w:rsidR="00860BE4" w:rsidRDefault="00000000">
      <w:pPr>
        <w:ind w:firstLine="640"/>
        <w:outlineLvl w:val="0"/>
        <w:rPr>
          <w:rFonts w:eastAsia="楷体_GB2312" w:cs="Times New Roman"/>
          <w:szCs w:val="32"/>
        </w:rPr>
      </w:pPr>
      <w:r>
        <w:rPr>
          <w:rFonts w:ascii="黑体" w:eastAsia="黑体" w:hAnsi="黑体" w:hint="eastAsia"/>
          <w:szCs w:val="36"/>
          <w:lang w:eastAsia="zh-Hans"/>
        </w:rPr>
        <w:t>六、加强登记过程安全保障</w:t>
      </w:r>
    </w:p>
    <w:p w14:paraId="2555CDCC" w14:textId="77777777" w:rsidR="00860BE4" w:rsidRDefault="00000000">
      <w:pPr>
        <w:pStyle w:val="a0"/>
        <w:spacing w:after="0"/>
        <w:ind w:firstLine="640"/>
        <w:rPr>
          <w:lang w:eastAsia="zh-Hans"/>
        </w:rPr>
      </w:pPr>
      <w:r>
        <w:rPr>
          <w:rFonts w:hint="eastAsia"/>
        </w:rPr>
        <w:t>推动建立保护登记数据传输、存储和使用安全的基础设施，加强防攻击、防泄露、防窃取的监测、预警和应急处置能力。鼓励登记机构搭建数据产品登记平台设施，建立登记信息内部控制制度，采取技术措施和其他必要措施，保障系统安全、稳定运行，对重</w:t>
      </w:r>
      <w:r>
        <w:rPr>
          <w:rFonts w:hint="eastAsia"/>
          <w:lang w:eastAsia="zh-Hans"/>
        </w:rPr>
        <w:t>要系统和数据库进行容灾备份。推动登记机构实施保密措施，确保数据</w:t>
      </w:r>
      <w:r>
        <w:rPr>
          <w:rFonts w:ascii="仿宋_GB2312" w:hint="eastAsia"/>
          <w:szCs w:val="36"/>
        </w:rPr>
        <w:t>产品</w:t>
      </w:r>
      <w:r>
        <w:rPr>
          <w:rFonts w:hint="eastAsia"/>
          <w:lang w:eastAsia="zh-Hans"/>
        </w:rPr>
        <w:t>登记相关材料不被泄露或用于不正当活动，对与数据</w:t>
      </w:r>
      <w:r>
        <w:rPr>
          <w:rFonts w:ascii="仿宋_GB2312" w:hint="eastAsia"/>
          <w:szCs w:val="36"/>
        </w:rPr>
        <w:t>产品</w:t>
      </w:r>
      <w:r>
        <w:rPr>
          <w:rFonts w:hint="eastAsia"/>
          <w:lang w:eastAsia="zh-Hans"/>
        </w:rPr>
        <w:t>登记业务有关的数据、文件和资料承担起保密义务。</w:t>
      </w:r>
    </w:p>
    <w:p w14:paraId="67C4D8E2" w14:textId="77777777" w:rsidR="00860BE4" w:rsidRDefault="00000000">
      <w:pPr>
        <w:ind w:firstLine="640"/>
        <w:outlineLvl w:val="0"/>
        <w:rPr>
          <w:rFonts w:ascii="黑体" w:eastAsia="黑体" w:hAnsi="黑体"/>
          <w:szCs w:val="36"/>
        </w:rPr>
      </w:pPr>
      <w:bookmarkStart w:id="47" w:name="_Toc1796559820"/>
      <w:bookmarkStart w:id="48" w:name="_Toc883676631"/>
      <w:bookmarkStart w:id="49" w:name="_Toc1196604519"/>
      <w:bookmarkStart w:id="50" w:name="_Toc1306369029"/>
      <w:bookmarkStart w:id="51" w:name="_Toc875832220"/>
      <w:bookmarkStart w:id="52" w:name="_Toc176540406"/>
      <w:bookmarkStart w:id="53" w:name="_Toc945720522"/>
      <w:bookmarkEnd w:id="43"/>
      <w:bookmarkEnd w:id="44"/>
      <w:bookmarkEnd w:id="45"/>
      <w:bookmarkEnd w:id="46"/>
      <w:r>
        <w:rPr>
          <w:rFonts w:ascii="黑体" w:eastAsia="黑体" w:hAnsi="黑体" w:hint="eastAsia"/>
          <w:szCs w:val="36"/>
          <w:lang w:eastAsia="zh-Hans"/>
        </w:rPr>
        <w:t>七</w:t>
      </w:r>
      <w:r>
        <w:rPr>
          <w:rFonts w:ascii="黑体" w:eastAsia="黑体" w:hAnsi="黑体" w:hint="eastAsia"/>
          <w:szCs w:val="36"/>
        </w:rPr>
        <w:t>、保障措施</w:t>
      </w:r>
      <w:bookmarkEnd w:id="47"/>
      <w:bookmarkEnd w:id="48"/>
      <w:bookmarkEnd w:id="49"/>
      <w:bookmarkEnd w:id="50"/>
      <w:bookmarkEnd w:id="51"/>
      <w:bookmarkEnd w:id="52"/>
      <w:bookmarkEnd w:id="53"/>
    </w:p>
    <w:p w14:paraId="05C144C6" w14:textId="77777777" w:rsidR="00860BE4" w:rsidRDefault="00000000">
      <w:pPr>
        <w:ind w:firstLine="640"/>
        <w:outlineLvl w:val="1"/>
        <w:rPr>
          <w:rFonts w:eastAsia="楷体_GB2312" w:cs="Times New Roman"/>
          <w:szCs w:val="32"/>
        </w:rPr>
      </w:pPr>
      <w:bookmarkStart w:id="54" w:name="_Toc147796678"/>
      <w:bookmarkStart w:id="55" w:name="_Toc271463475"/>
      <w:bookmarkStart w:id="56" w:name="_Toc1439687135"/>
      <w:bookmarkStart w:id="57" w:name="_Toc1198341807"/>
      <w:r>
        <w:rPr>
          <w:rFonts w:eastAsia="楷体_GB2312" w:cs="Times New Roman" w:hint="eastAsia"/>
          <w:szCs w:val="32"/>
        </w:rPr>
        <w:t>（一）强化引导协同</w:t>
      </w:r>
      <w:bookmarkEnd w:id="54"/>
      <w:bookmarkEnd w:id="55"/>
      <w:bookmarkEnd w:id="56"/>
      <w:bookmarkEnd w:id="57"/>
    </w:p>
    <w:p w14:paraId="62781E45" w14:textId="77777777" w:rsidR="00860BE4" w:rsidRDefault="00000000">
      <w:pPr>
        <w:ind w:firstLine="640"/>
        <w:rPr>
          <w:lang w:bidi="zh-CN"/>
        </w:rPr>
      </w:pPr>
      <w:r>
        <w:rPr>
          <w:rFonts w:ascii="仿宋_GB2312" w:hint="eastAsia"/>
          <w:szCs w:val="36"/>
          <w:lang w:eastAsia="zh-Hans"/>
        </w:rPr>
        <w:t>发挥数据</w:t>
      </w:r>
      <w:r>
        <w:rPr>
          <w:rFonts w:ascii="仿宋_GB2312" w:hint="eastAsia"/>
          <w:szCs w:val="36"/>
        </w:rPr>
        <w:t>产品</w:t>
      </w:r>
      <w:r>
        <w:rPr>
          <w:rFonts w:ascii="仿宋_GB2312" w:hint="eastAsia"/>
          <w:szCs w:val="36"/>
          <w:lang w:eastAsia="zh-Hans"/>
        </w:rPr>
        <w:t>登记主管单位监督引导职能，促进</w:t>
      </w:r>
      <w:r>
        <w:rPr>
          <w:rFonts w:ascii="仿宋_GB2312" w:hint="eastAsia"/>
          <w:szCs w:val="36"/>
        </w:rPr>
        <w:t>登记机构、登记申请者、第三方登记服务机构等数据产品登记各参与方加强协同配合，</w:t>
      </w:r>
      <w:r>
        <w:rPr>
          <w:rFonts w:ascii="仿宋_GB2312" w:hint="eastAsia"/>
          <w:szCs w:val="36"/>
          <w:lang w:eastAsia="zh-Hans"/>
        </w:rPr>
        <w:t>推动登记</w:t>
      </w:r>
      <w:r>
        <w:rPr>
          <w:rFonts w:hint="eastAsia"/>
          <w:lang w:bidi="zh-CN"/>
        </w:rPr>
        <w:t>工作有效落实，</w:t>
      </w:r>
      <w:r>
        <w:rPr>
          <w:rFonts w:ascii="仿宋_GB2312" w:hint="eastAsia"/>
          <w:szCs w:val="36"/>
          <w:lang w:eastAsia="zh-Hans"/>
        </w:rPr>
        <w:t>引导规范发展。</w:t>
      </w:r>
      <w:r>
        <w:rPr>
          <w:rFonts w:hint="eastAsia"/>
          <w:szCs w:val="32"/>
          <w:lang w:bidi="zh-CN"/>
        </w:rPr>
        <w:t>指导登记机构制订数据</w:t>
      </w:r>
      <w:r>
        <w:rPr>
          <w:rFonts w:ascii="仿宋_GB2312" w:hint="eastAsia"/>
          <w:szCs w:val="36"/>
        </w:rPr>
        <w:t>产品</w:t>
      </w:r>
      <w:r>
        <w:rPr>
          <w:rFonts w:hint="eastAsia"/>
          <w:szCs w:val="32"/>
          <w:lang w:bidi="zh-CN"/>
        </w:rPr>
        <w:t>登记相关技术标准，积极推动登记规则和登记成果跨平台、跨地域互认，</w:t>
      </w:r>
      <w:r>
        <w:rPr>
          <w:rFonts w:hint="eastAsia"/>
          <w:lang w:bidi="zh-CN"/>
        </w:rPr>
        <w:t>加强与交易规则衔接，促进数据要素在区域间高效流动。</w:t>
      </w:r>
    </w:p>
    <w:p w14:paraId="352E1BB4" w14:textId="77777777" w:rsidR="00860BE4" w:rsidRDefault="00000000">
      <w:pPr>
        <w:ind w:firstLine="640"/>
        <w:outlineLvl w:val="1"/>
        <w:rPr>
          <w:rFonts w:eastAsia="楷体_GB2312" w:cs="Times New Roman"/>
          <w:szCs w:val="32"/>
        </w:rPr>
      </w:pPr>
      <w:bookmarkStart w:id="58" w:name="_Toc1231358097"/>
      <w:bookmarkStart w:id="59" w:name="_Toc1123427196"/>
      <w:bookmarkStart w:id="60" w:name="_Toc1429108683"/>
      <w:bookmarkStart w:id="61" w:name="_Toc1527671214"/>
      <w:r>
        <w:rPr>
          <w:rFonts w:eastAsia="楷体_GB2312" w:cs="Times New Roman" w:hint="eastAsia"/>
          <w:szCs w:val="32"/>
        </w:rPr>
        <w:lastRenderedPageBreak/>
        <w:t>（二）</w:t>
      </w:r>
      <w:bookmarkEnd w:id="58"/>
      <w:bookmarkEnd w:id="59"/>
      <w:bookmarkEnd w:id="60"/>
      <w:bookmarkEnd w:id="61"/>
      <w:r>
        <w:rPr>
          <w:rFonts w:eastAsia="楷体_GB2312" w:cs="Times New Roman" w:hint="eastAsia"/>
          <w:szCs w:val="32"/>
        </w:rPr>
        <w:t>创新登记模式</w:t>
      </w:r>
    </w:p>
    <w:p w14:paraId="44E98BAD" w14:textId="77777777" w:rsidR="00860BE4" w:rsidRDefault="00000000">
      <w:pPr>
        <w:ind w:firstLine="640"/>
      </w:pPr>
      <w:r>
        <w:rPr>
          <w:rFonts w:ascii="Times New Roman Regular" w:hAnsi="Times New Roman Regular" w:cs="Times New Roman Regular" w:hint="eastAsia"/>
          <w:szCs w:val="22"/>
        </w:rPr>
        <w:t>充分考虑数据作为新型生产要素的特点，深入研究土地、资本、劳动力、技术等传统要素登记活动开展的经验和方法，创新数据</w:t>
      </w:r>
      <w:r>
        <w:rPr>
          <w:rFonts w:ascii="仿宋_GB2312" w:hint="eastAsia"/>
          <w:szCs w:val="36"/>
        </w:rPr>
        <w:t>产品</w:t>
      </w:r>
      <w:r>
        <w:rPr>
          <w:rFonts w:ascii="Times New Roman Regular" w:hAnsi="Times New Roman Regular" w:cs="Times New Roman Regular" w:hint="eastAsia"/>
          <w:szCs w:val="22"/>
        </w:rPr>
        <w:t>登记方式，促进多方参与数据</w:t>
      </w:r>
      <w:r>
        <w:rPr>
          <w:rFonts w:ascii="仿宋_GB2312" w:hint="eastAsia"/>
          <w:szCs w:val="36"/>
        </w:rPr>
        <w:t>产品</w:t>
      </w:r>
      <w:r>
        <w:rPr>
          <w:rFonts w:ascii="Times New Roman Regular" w:hAnsi="Times New Roman Regular" w:cs="Times New Roman Regular" w:hint="eastAsia"/>
          <w:szCs w:val="22"/>
        </w:rPr>
        <w:t>登记。</w:t>
      </w:r>
      <w:r>
        <w:rPr>
          <w:rFonts w:hint="eastAsia"/>
        </w:rPr>
        <w:t>建立健全数据</w:t>
      </w:r>
      <w:r>
        <w:rPr>
          <w:rFonts w:ascii="仿宋_GB2312" w:hint="eastAsia"/>
          <w:szCs w:val="36"/>
        </w:rPr>
        <w:t>产品</w:t>
      </w:r>
      <w:r>
        <w:rPr>
          <w:rFonts w:hint="eastAsia"/>
        </w:rPr>
        <w:t>登记及披露机制，增强企业社会责任，打破“数据垄断”，促进公平竞争。</w:t>
      </w:r>
    </w:p>
    <w:p w14:paraId="4EA04A08" w14:textId="77777777" w:rsidR="00860BE4" w:rsidRDefault="00000000">
      <w:pPr>
        <w:ind w:firstLine="640"/>
        <w:outlineLvl w:val="1"/>
        <w:rPr>
          <w:rFonts w:eastAsia="楷体_GB2312" w:cs="Times New Roman"/>
          <w:szCs w:val="32"/>
        </w:rPr>
      </w:pPr>
      <w:bookmarkStart w:id="62" w:name="_Toc255610166"/>
      <w:bookmarkStart w:id="63" w:name="_Toc1572527133"/>
      <w:bookmarkStart w:id="64" w:name="_Toc135630140"/>
      <w:bookmarkStart w:id="65" w:name="_Toc764658748"/>
      <w:r>
        <w:rPr>
          <w:rFonts w:eastAsia="楷体_GB2312" w:cs="Times New Roman" w:hint="eastAsia"/>
          <w:szCs w:val="32"/>
        </w:rPr>
        <w:t>（三）</w:t>
      </w:r>
      <w:bookmarkEnd w:id="62"/>
      <w:bookmarkEnd w:id="63"/>
      <w:bookmarkEnd w:id="64"/>
      <w:bookmarkEnd w:id="65"/>
      <w:r>
        <w:rPr>
          <w:rFonts w:eastAsia="楷体_GB2312" w:cs="Times New Roman" w:hint="eastAsia"/>
          <w:szCs w:val="32"/>
        </w:rPr>
        <w:t>加强宣传推广</w:t>
      </w:r>
    </w:p>
    <w:p w14:paraId="7644FB1B" w14:textId="77777777" w:rsidR="00860BE4" w:rsidRDefault="00000000">
      <w:pPr>
        <w:pStyle w:val="20"/>
        <w:spacing w:after="0"/>
        <w:ind w:firstLine="640"/>
      </w:pPr>
      <w:r>
        <w:rPr>
          <w:rFonts w:hint="eastAsia"/>
        </w:rPr>
        <w:t>综合运用线上线下相结合的方式，加强数据</w:t>
      </w:r>
      <w:r>
        <w:rPr>
          <w:rFonts w:ascii="仿宋_GB2312" w:hint="eastAsia"/>
          <w:szCs w:val="36"/>
        </w:rPr>
        <w:t>产品</w:t>
      </w:r>
      <w:r>
        <w:rPr>
          <w:rFonts w:hint="eastAsia"/>
        </w:rPr>
        <w:t>登记机制、流程、效用等方面内容的宣传，促进郑州市数据</w:t>
      </w:r>
      <w:r>
        <w:rPr>
          <w:rFonts w:ascii="仿宋_GB2312" w:hint="eastAsia"/>
          <w:szCs w:val="36"/>
        </w:rPr>
        <w:t>产品</w:t>
      </w:r>
      <w:r>
        <w:rPr>
          <w:rFonts w:hint="eastAsia"/>
        </w:rPr>
        <w:t>登记活动广泛开展。通过组织专场培训的方式，面向登记机构、登记申请者、第三方登记服务机构等组织开展数据</w:t>
      </w:r>
      <w:r>
        <w:rPr>
          <w:rFonts w:ascii="仿宋_GB2312" w:hint="eastAsia"/>
          <w:szCs w:val="36"/>
        </w:rPr>
        <w:t>产品</w:t>
      </w:r>
      <w:r>
        <w:rPr>
          <w:rFonts w:hint="eastAsia"/>
        </w:rPr>
        <w:t>登记相关培训活动，提升主动登记意识，引导依法依规参与登记活动。</w:t>
      </w:r>
    </w:p>
    <w:sectPr w:rsidR="00860BE4">
      <w:headerReference w:type="even" r:id="rId6"/>
      <w:headerReference w:type="default" r:id="rId7"/>
      <w:footerReference w:type="even" r:id="rId8"/>
      <w:footerReference w:type="default" r:id="rId9"/>
      <w:headerReference w:type="first" r:id="rId10"/>
      <w:footerReference w:type="first" r:id="rId11"/>
      <w:pgSz w:w="11906" w:h="16838"/>
      <w:pgMar w:top="2098" w:right="1531" w:bottom="2098" w:left="1531" w:header="851" w:footer="992" w:gutter="0"/>
      <w:pgNumType w:fmt="numberInDash" w:start="1"/>
      <w:cols w:space="0"/>
      <w:docGrid w:type="lines" w:linePitch="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196C62" w14:textId="77777777" w:rsidR="00322661" w:rsidRDefault="00322661">
      <w:pPr>
        <w:spacing w:line="240" w:lineRule="auto"/>
        <w:ind w:firstLine="640"/>
      </w:pPr>
      <w:r>
        <w:separator/>
      </w:r>
    </w:p>
  </w:endnote>
  <w:endnote w:type="continuationSeparator" w:id="0">
    <w:p w14:paraId="11EB2503" w14:textId="77777777" w:rsidR="00322661" w:rsidRDefault="00322661">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iti SC Medium">
    <w:altName w:val="微软雅黑"/>
    <w:charset w:val="86"/>
    <w:family w:val="auto"/>
    <w:pitch w:val="default"/>
    <w:sig w:usb0="8000002F" w:usb1="0800004A" w:usb2="00000000" w:usb3="00000000" w:csb0="203E0000" w:csb1="00000000"/>
  </w:font>
  <w:font w:name="Times New Roman Regular">
    <w:altName w:val="Times New Roman"/>
    <w:charset w:val="00"/>
    <w:family w:val="auto"/>
    <w:pitch w:val="default"/>
    <w:sig w:usb0="E0002AFF" w:usb1="C0007841" w:usb2="00000009" w:usb3="00000000" w:csb0="400001FF" w:csb1="FFFF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00827"/>
    </w:sdtPr>
    <w:sdtEndPr>
      <w:rPr>
        <w:rFonts w:ascii="宋体" w:eastAsia="宋体" w:hAnsi="宋体"/>
        <w:sz w:val="28"/>
        <w:szCs w:val="28"/>
      </w:rPr>
    </w:sdtEndPr>
    <w:sdtContent>
      <w:p w14:paraId="4FEAFF1E" w14:textId="77777777" w:rsidR="00860BE4" w:rsidRDefault="00000000">
        <w:pPr>
          <w:pStyle w:val="a7"/>
          <w:ind w:firstLineChars="0" w:firstLine="0"/>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rPr>
          <w:t>- 1 -</w:t>
        </w:r>
        <w:r>
          <w:rPr>
            <w:rFonts w:ascii="宋体" w:eastAsia="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
    </w:sdtPr>
    <w:sdtEndPr>
      <w:rPr>
        <w:rFonts w:ascii="宋体" w:eastAsia="宋体" w:hAnsi="宋体"/>
        <w:sz w:val="28"/>
        <w:szCs w:val="28"/>
      </w:rPr>
    </w:sdtEndPr>
    <w:sdtContent>
      <w:p w14:paraId="05B24C26" w14:textId="77777777" w:rsidR="00860BE4" w:rsidRDefault="00000000">
        <w:pPr>
          <w:pStyle w:val="a7"/>
          <w:ind w:firstLineChars="0" w:firstLine="0"/>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rPr>
          <w:t>- 1 -</w:t>
        </w:r>
        <w:r>
          <w:rPr>
            <w:rFonts w:ascii="宋体" w:eastAsia="宋体" w:hAnsi="宋体"/>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7FFC7" w14:textId="77777777" w:rsidR="00860BE4" w:rsidRDefault="00860BE4">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C39436" w14:textId="77777777" w:rsidR="00322661" w:rsidRDefault="00322661">
      <w:pPr>
        <w:spacing w:line="240" w:lineRule="auto"/>
        <w:ind w:firstLine="640"/>
      </w:pPr>
      <w:r>
        <w:separator/>
      </w:r>
    </w:p>
  </w:footnote>
  <w:footnote w:type="continuationSeparator" w:id="0">
    <w:p w14:paraId="25A44599" w14:textId="77777777" w:rsidR="00322661" w:rsidRDefault="00322661">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7D7EE" w14:textId="77777777" w:rsidR="00860BE4" w:rsidRDefault="00860BE4">
    <w:pPr>
      <w:pStyle w:val="a9"/>
      <w:pBdr>
        <w:bottom w:val="none" w:sz="0" w:space="1"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43CD6" w14:textId="77777777" w:rsidR="00860BE4" w:rsidRDefault="00860BE4">
    <w:pPr>
      <w:pStyle w:val="a9"/>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4BBBA" w14:textId="77777777" w:rsidR="00860BE4" w:rsidRDefault="00860BE4">
    <w:pPr>
      <w:pStyle w:val="a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4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EEB3C034"/>
    <w:rsid w:val="8FEF2B25"/>
    <w:rsid w:val="BBBA5D1F"/>
    <w:rsid w:val="DE3F7F26"/>
    <w:rsid w:val="EEB3C034"/>
    <w:rsid w:val="FEEBF34F"/>
    <w:rsid w:val="FFFD6D97"/>
    <w:rsid w:val="00006BA9"/>
    <w:rsid w:val="0001506A"/>
    <w:rsid w:val="00051DA0"/>
    <w:rsid w:val="00063569"/>
    <w:rsid w:val="00070362"/>
    <w:rsid w:val="0007547F"/>
    <w:rsid w:val="00080E4E"/>
    <w:rsid w:val="00093CC7"/>
    <w:rsid w:val="000A213D"/>
    <w:rsid w:val="000C3592"/>
    <w:rsid w:val="000D0083"/>
    <w:rsid w:val="000E0E86"/>
    <w:rsid w:val="000E4963"/>
    <w:rsid w:val="000F12A5"/>
    <w:rsid w:val="00116D51"/>
    <w:rsid w:val="00133FC3"/>
    <w:rsid w:val="001433E6"/>
    <w:rsid w:val="0014751B"/>
    <w:rsid w:val="00150CFC"/>
    <w:rsid w:val="0017466C"/>
    <w:rsid w:val="00180CBB"/>
    <w:rsid w:val="001D1629"/>
    <w:rsid w:val="001E72EB"/>
    <w:rsid w:val="001F65EF"/>
    <w:rsid w:val="00230FF4"/>
    <w:rsid w:val="002370E6"/>
    <w:rsid w:val="00252F25"/>
    <w:rsid w:val="00263FFE"/>
    <w:rsid w:val="00273CAE"/>
    <w:rsid w:val="00281D3A"/>
    <w:rsid w:val="0029761F"/>
    <w:rsid w:val="002B3C8D"/>
    <w:rsid w:val="002D1578"/>
    <w:rsid w:val="0030658E"/>
    <w:rsid w:val="00317A3B"/>
    <w:rsid w:val="00322661"/>
    <w:rsid w:val="00337D76"/>
    <w:rsid w:val="003622CD"/>
    <w:rsid w:val="00391419"/>
    <w:rsid w:val="003C51C9"/>
    <w:rsid w:val="003C7E88"/>
    <w:rsid w:val="003D3A16"/>
    <w:rsid w:val="003D3A20"/>
    <w:rsid w:val="003D5534"/>
    <w:rsid w:val="003D791E"/>
    <w:rsid w:val="00413C4C"/>
    <w:rsid w:val="00417E54"/>
    <w:rsid w:val="00437E98"/>
    <w:rsid w:val="00446349"/>
    <w:rsid w:val="004475B1"/>
    <w:rsid w:val="004E6C20"/>
    <w:rsid w:val="00516013"/>
    <w:rsid w:val="005367D2"/>
    <w:rsid w:val="0054688D"/>
    <w:rsid w:val="00553570"/>
    <w:rsid w:val="00562682"/>
    <w:rsid w:val="00572BBF"/>
    <w:rsid w:val="005C6FA2"/>
    <w:rsid w:val="005F0A76"/>
    <w:rsid w:val="005F58C2"/>
    <w:rsid w:val="005F632C"/>
    <w:rsid w:val="0062018C"/>
    <w:rsid w:val="006238A1"/>
    <w:rsid w:val="0062393C"/>
    <w:rsid w:val="00636D50"/>
    <w:rsid w:val="00642924"/>
    <w:rsid w:val="00676300"/>
    <w:rsid w:val="00683016"/>
    <w:rsid w:val="006859C6"/>
    <w:rsid w:val="00690A20"/>
    <w:rsid w:val="006A13AB"/>
    <w:rsid w:val="006A416C"/>
    <w:rsid w:val="006A5E1F"/>
    <w:rsid w:val="006C0E81"/>
    <w:rsid w:val="006C0FD9"/>
    <w:rsid w:val="006E2B04"/>
    <w:rsid w:val="007004CC"/>
    <w:rsid w:val="00706225"/>
    <w:rsid w:val="00723F8D"/>
    <w:rsid w:val="00727B1F"/>
    <w:rsid w:val="007464E1"/>
    <w:rsid w:val="007706B6"/>
    <w:rsid w:val="00794E6A"/>
    <w:rsid w:val="007A0A8C"/>
    <w:rsid w:val="007A6964"/>
    <w:rsid w:val="007B7807"/>
    <w:rsid w:val="007C0295"/>
    <w:rsid w:val="007C5AEB"/>
    <w:rsid w:val="007D79D0"/>
    <w:rsid w:val="007E6929"/>
    <w:rsid w:val="0081677E"/>
    <w:rsid w:val="00844249"/>
    <w:rsid w:val="00860BE4"/>
    <w:rsid w:val="00880E2E"/>
    <w:rsid w:val="008870B7"/>
    <w:rsid w:val="008D573C"/>
    <w:rsid w:val="008D77AB"/>
    <w:rsid w:val="008F7B63"/>
    <w:rsid w:val="009212B1"/>
    <w:rsid w:val="00926B40"/>
    <w:rsid w:val="0094029A"/>
    <w:rsid w:val="009438CD"/>
    <w:rsid w:val="00950C52"/>
    <w:rsid w:val="00950E9A"/>
    <w:rsid w:val="009770CD"/>
    <w:rsid w:val="009854E1"/>
    <w:rsid w:val="00992C5E"/>
    <w:rsid w:val="009A3B1B"/>
    <w:rsid w:val="009C7F6D"/>
    <w:rsid w:val="009D7BE0"/>
    <w:rsid w:val="009E04C4"/>
    <w:rsid w:val="009E6D74"/>
    <w:rsid w:val="009F6000"/>
    <w:rsid w:val="00A054F3"/>
    <w:rsid w:val="00A14B92"/>
    <w:rsid w:val="00A27F06"/>
    <w:rsid w:val="00A30852"/>
    <w:rsid w:val="00A37EE5"/>
    <w:rsid w:val="00A56448"/>
    <w:rsid w:val="00A72F6E"/>
    <w:rsid w:val="00A76426"/>
    <w:rsid w:val="00A87995"/>
    <w:rsid w:val="00AA0732"/>
    <w:rsid w:val="00AC2663"/>
    <w:rsid w:val="00AF10E2"/>
    <w:rsid w:val="00AF1F9A"/>
    <w:rsid w:val="00AF2F37"/>
    <w:rsid w:val="00B21268"/>
    <w:rsid w:val="00B27EC2"/>
    <w:rsid w:val="00B67C11"/>
    <w:rsid w:val="00B7231A"/>
    <w:rsid w:val="00B8134A"/>
    <w:rsid w:val="00B85927"/>
    <w:rsid w:val="00BA4E21"/>
    <w:rsid w:val="00BB6557"/>
    <w:rsid w:val="00BB7F4E"/>
    <w:rsid w:val="00BC00FB"/>
    <w:rsid w:val="00BE1A75"/>
    <w:rsid w:val="00C20302"/>
    <w:rsid w:val="00C50048"/>
    <w:rsid w:val="00C61E2B"/>
    <w:rsid w:val="00C72D82"/>
    <w:rsid w:val="00CA714D"/>
    <w:rsid w:val="00CA73F0"/>
    <w:rsid w:val="00D02AAA"/>
    <w:rsid w:val="00D54FDA"/>
    <w:rsid w:val="00D64BA6"/>
    <w:rsid w:val="00D83250"/>
    <w:rsid w:val="00D95C36"/>
    <w:rsid w:val="00DC578F"/>
    <w:rsid w:val="00DC71C1"/>
    <w:rsid w:val="00E03579"/>
    <w:rsid w:val="00E37792"/>
    <w:rsid w:val="00E613D9"/>
    <w:rsid w:val="00E8119C"/>
    <w:rsid w:val="00E966E4"/>
    <w:rsid w:val="00EC013D"/>
    <w:rsid w:val="00ED1A51"/>
    <w:rsid w:val="00ED4298"/>
    <w:rsid w:val="00EE6671"/>
    <w:rsid w:val="00EE66D7"/>
    <w:rsid w:val="00F04971"/>
    <w:rsid w:val="00F12274"/>
    <w:rsid w:val="00F129E7"/>
    <w:rsid w:val="00F25FEF"/>
    <w:rsid w:val="00F2618D"/>
    <w:rsid w:val="00F5153A"/>
    <w:rsid w:val="00F55FB6"/>
    <w:rsid w:val="00F70E54"/>
    <w:rsid w:val="00F71B2D"/>
    <w:rsid w:val="00F87F77"/>
    <w:rsid w:val="00F91147"/>
    <w:rsid w:val="00FD2EF3"/>
    <w:rsid w:val="00FE1076"/>
    <w:rsid w:val="777F7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E2ABF"/>
  <w15:docId w15:val="{9469C67C-CAFA-4DB8-AD84-497C3A47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semiHidden="1" w:uiPriority="99" w:unhideWhenUsed="1" w:qFormat="1"/>
    <w:lsdException w:name="Normal Indent"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Body Text Indent" w:semiHidden="1" w:uiPriority="99" w:unhideWhenUsed="1" w:qFormat="1"/>
    <w:lsdException w:name="Subtitle" w:uiPriority="11" w:qFormat="1"/>
    <w:lsdException w:name="Body Text First Indent"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spacing w:line="560" w:lineRule="exact"/>
      <w:ind w:firstLineChars="200" w:firstLine="720"/>
      <w:jc w:val="both"/>
    </w:pPr>
    <w:rPr>
      <w:rFonts w:ascii="Times New Roman" w:eastAsia="仿宋_GB2312" w:hAnsi="Times New Roman"/>
      <w:kern w:val="2"/>
      <w:sz w:val="32"/>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semiHidden/>
    <w:unhideWhenUsed/>
    <w:qFormat/>
    <w:pPr>
      <w:keepNext/>
      <w:keepLines/>
      <w:spacing w:before="260" w:after="260" w:line="413" w:lineRule="auto"/>
      <w:outlineLvl w:val="1"/>
    </w:pPr>
    <w:rPr>
      <w:rFonts w:ascii="Arial" w:eastAsia="黑体"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iPriority w:val="99"/>
    <w:qFormat/>
    <w:pPr>
      <w:spacing w:after="120"/>
    </w:pPr>
  </w:style>
  <w:style w:type="paragraph" w:styleId="8">
    <w:name w:val="index 8"/>
    <w:basedOn w:val="a"/>
    <w:next w:val="a"/>
    <w:uiPriority w:val="99"/>
    <w:semiHidden/>
    <w:unhideWhenUsed/>
    <w:qFormat/>
    <w:pPr>
      <w:jc w:val="center"/>
    </w:pPr>
  </w:style>
  <w:style w:type="paragraph" w:styleId="a5">
    <w:name w:val="Normal Indent"/>
    <w:basedOn w:val="a"/>
    <w:qFormat/>
    <w:pPr>
      <w:spacing w:line="240" w:lineRule="auto"/>
      <w:ind w:firstLine="420"/>
    </w:pPr>
    <w:rPr>
      <w:szCs w:val="22"/>
    </w:rPr>
  </w:style>
  <w:style w:type="paragraph" w:styleId="a6">
    <w:name w:val="Body Text Indent"/>
    <w:basedOn w:val="a"/>
    <w:uiPriority w:val="99"/>
    <w:semiHidden/>
    <w:unhideWhenUsed/>
    <w:qFormat/>
    <w:pPr>
      <w:spacing w:after="120"/>
      <w:ind w:leftChars="200" w:left="420"/>
    </w:p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uiPriority w:val="11"/>
    <w:qFormat/>
    <w:pPr>
      <w:spacing w:before="240" w:after="60" w:line="312" w:lineRule="auto"/>
      <w:jc w:val="center"/>
      <w:outlineLvl w:val="1"/>
    </w:pPr>
    <w:rPr>
      <w:rFonts w:asciiTheme="minorHAnsi" w:eastAsiaTheme="minorEastAsia" w:hAnsiTheme="minorHAnsi"/>
      <w:b/>
      <w:bCs/>
      <w:kern w:val="28"/>
      <w:szCs w:val="32"/>
    </w:rPr>
  </w:style>
  <w:style w:type="paragraph" w:styleId="ab">
    <w:name w:val="Normal (Web)"/>
    <w:basedOn w:val="a"/>
    <w:next w:val="a"/>
    <w:qFormat/>
    <w:pPr>
      <w:spacing w:beforeAutospacing="1" w:afterAutospacing="1"/>
      <w:jc w:val="left"/>
    </w:pPr>
    <w:rPr>
      <w:rFonts w:cs="Times New Roman"/>
      <w:kern w:val="0"/>
      <w:sz w:val="24"/>
    </w:rPr>
  </w:style>
  <w:style w:type="paragraph" w:styleId="ac">
    <w:name w:val="Title"/>
    <w:basedOn w:val="a"/>
    <w:qFormat/>
    <w:pPr>
      <w:spacing w:before="240" w:after="60"/>
      <w:jc w:val="center"/>
      <w:outlineLvl w:val="0"/>
    </w:pPr>
    <w:rPr>
      <w:rFonts w:ascii="Arial" w:hAnsi="Arial"/>
      <w:b/>
    </w:rPr>
  </w:style>
  <w:style w:type="paragraph" w:styleId="ad">
    <w:name w:val="Body Text First Indent"/>
    <w:basedOn w:val="a0"/>
    <w:qFormat/>
    <w:pPr>
      <w:ind w:firstLineChars="100" w:firstLine="420"/>
    </w:pPr>
  </w:style>
  <w:style w:type="paragraph" w:styleId="20">
    <w:name w:val="Body Text First Indent 2"/>
    <w:basedOn w:val="a6"/>
    <w:next w:val="a"/>
    <w:uiPriority w:val="99"/>
    <w:unhideWhenUsed/>
    <w:qFormat/>
    <w:pPr>
      <w:ind w:leftChars="0" w:left="0" w:firstLine="420"/>
    </w:pPr>
  </w:style>
  <w:style w:type="paragraph" w:customStyle="1" w:styleId="10">
    <w:name w:val="样式1"/>
    <w:basedOn w:val="ac"/>
    <w:qFormat/>
    <w:pPr>
      <w:ind w:left="420" w:firstLine="0"/>
    </w:pPr>
    <w:rPr>
      <w:rFonts w:ascii="Times New Roman" w:eastAsia="Heiti SC Medium" w:hAnsi="Times New Roman" w:cs="Times New Roman Regular"/>
      <w:b w:val="0"/>
      <w:szCs w:val="21"/>
    </w:rPr>
  </w:style>
  <w:style w:type="paragraph" w:customStyle="1" w:styleId="21">
    <w:name w:val="项目2"/>
    <w:basedOn w:val="1"/>
    <w:next w:val="2"/>
    <w:qFormat/>
    <w:pPr>
      <w:spacing w:before="240" w:after="60" w:line="560" w:lineRule="exact"/>
    </w:pPr>
    <w:rPr>
      <w:rFonts w:eastAsia="Heiti SC Medium" w:cs="Times New Roman Regular" w:hint="eastAsia"/>
      <w:sz w:val="32"/>
      <w:szCs w:val="21"/>
    </w:rPr>
  </w:style>
  <w:style w:type="character" w:customStyle="1" w:styleId="a8">
    <w:name w:val="页脚 字符"/>
    <w:basedOn w:val="a1"/>
    <w:link w:val="a7"/>
    <w:uiPriority w:val="99"/>
    <w:qFormat/>
    <w:rPr>
      <w:rFonts w:ascii="Times New Roman" w:eastAsia="仿宋_GB2312" w:hAnsi="Times New Roman"/>
      <w:kern w:val="2"/>
      <w:sz w:val="18"/>
      <w:szCs w:val="18"/>
    </w:rPr>
  </w:style>
  <w:style w:type="paragraph" w:styleId="ae">
    <w:name w:val="List Paragraph"/>
    <w:basedOn w:val="a"/>
    <w:uiPriority w:val="99"/>
    <w:unhideWhenUsed/>
    <w:qFormat/>
    <w:pPr>
      <w:ind w:firstLine="420"/>
    </w:pPr>
  </w:style>
  <w:style w:type="paragraph" w:customStyle="1" w:styleId="11">
    <w:name w:val="修订1"/>
    <w:hidden/>
    <w:uiPriority w:val="99"/>
    <w:unhideWhenUsed/>
    <w:qFormat/>
    <w:rPr>
      <w:rFonts w:ascii="Times New Roman" w:eastAsia="仿宋_GB2312" w:hAnsi="Times New Roman"/>
      <w:kern w:val="2"/>
      <w:sz w:val="32"/>
      <w:szCs w:val="24"/>
    </w:rPr>
  </w:style>
  <w:style w:type="character" w:customStyle="1" w:styleId="a4">
    <w:name w:val="正文文本 字符"/>
    <w:basedOn w:val="a1"/>
    <w:link w:val="a0"/>
    <w:uiPriority w:val="99"/>
    <w:qFormat/>
    <w:rPr>
      <w:rFonts w:ascii="Times New Roman" w:eastAsia="仿宋_GB2312" w:hAnsi="Times New Roman"/>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489</Words>
  <Characters>2791</Characters>
  <Application>Microsoft Office Word</Application>
  <DocSecurity>0</DocSecurity>
  <Lines>23</Lines>
  <Paragraphs>6</Paragraphs>
  <ScaleCrop>false</ScaleCrop>
  <Company>CHINA</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yiming</dc:creator>
  <cp:lastModifiedBy>王令</cp:lastModifiedBy>
  <cp:revision>2</cp:revision>
  <cp:lastPrinted>2024-03-01T01:54:00Z</cp:lastPrinted>
  <dcterms:created xsi:type="dcterms:W3CDTF">2024-03-01T01:57:00Z</dcterms:created>
  <dcterms:modified xsi:type="dcterms:W3CDTF">2024-03-01T01:57:00Z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FCF0462840711F45C8D7C165E203492F_43</vt:lpwstr>
  </property>
</Properties>
</file>